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600"/>
      </w:pPr>
      <w:r>
        <w:t xml:space="preserve"/>
      </w:r>
    </w:p>
    <w:p>
      <w:pPr>
        <w:spacing w:after="120"/>
        <w:jc w:val="center"/>
      </w:pPr>
      <w:r>
        <w:rPr>
          <w:rFonts w:ascii="Malgun Gothic" w:cs="Malgun Gothic" w:eastAsia="Malgun Gothic" w:hAnsi="Malgun Gothic"/>
          <w:b/>
          <w:bCs/>
          <w:color w:val="562873"/>
          <w:sz w:val="80"/>
          <w:szCs w:val="80"/>
        </w:rPr>
        <w:t xml:space="preserve">mirajet</w:t>
      </w:r>
    </w:p>
    <w:p>
      <w:pPr>
        <w:spacing w:after="400"/>
        <w:jc w:val="center"/>
      </w:pPr>
      <w:r>
        <w:rPr>
          <w:rFonts w:ascii="Malgun Gothic" w:cs="Malgun Gothic" w:eastAsia="Malgun Gothic" w:hAnsi="Malgun Gothic"/>
          <w:i/>
          <w:iCs/>
          <w:color w:val="333333"/>
          <w:sz w:val="32"/>
          <w:szCs w:val="32"/>
        </w:rPr>
        <w:t xml:space="preserve">Hue Expansion Study</w:t>
      </w:r>
    </w:p>
    <w:p>
      <w:pPr>
        <w:spacing w:after="120"/>
        <w:jc w:val="center"/>
      </w:pPr>
      <w:r>
        <w:rPr>
          <w:rFonts w:ascii="Malgun Gothic" w:cs="Malgun Gothic" w:eastAsia="Malgun Gothic" w:hAnsi="Malgun Gothic"/>
          <w:b/>
          <w:bCs/>
          <w:sz w:val="36"/>
          <w:szCs w:val="36"/>
        </w:rPr>
        <w:t xml:space="preserve">Hue 확장 전략 비교안</w:t>
      </w:r>
    </w:p>
    <w:p>
      <w:pPr>
        <w:spacing w:after="1600"/>
        <w:jc w:val="center"/>
      </w:pPr>
      <w:r>
        <w:rPr>
          <w:rFonts w:ascii="Malgun Gothic" w:cs="Malgun Gothic" w:eastAsia="Malgun Gothic" w:hAnsi="Malgun Gothic"/>
          <w:color w:val="888888"/>
          <w:sz w:val="22"/>
          <w:szCs w:val="22"/>
        </w:rPr>
        <w:t xml:space="preserve">단일 Hue vs Tint/Shade 확장 vs Hue 스펙트럼 확장</w:t>
      </w:r>
    </w:p>
    <w:p>
      <w:pPr>
        <w:spacing w:after="80"/>
        <w:jc w:val="center"/>
      </w:pPr>
      <w:r>
        <w:rPr>
          <w:rFonts w:ascii="Malgun Gothic" w:cs="Malgun Gothic" w:eastAsia="Malgun Gothic" w:hAnsi="Malgun Gothic"/>
          <w:sz w:val="22"/>
          <w:szCs w:val="22"/>
        </w:rPr>
        <w:t xml:space="preserve">제이에스케이바이오메드 · JSK BIOMED</w:t>
      </w:r>
    </w:p>
    <w:p>
      <w:pPr>
        <w:jc w:val="center"/>
      </w:pPr>
      <w:r>
        <w:rPr>
          <w:rFonts w:ascii="Malgun Gothic" w:cs="Malgun Gothic" w:eastAsia="Malgun Gothic" w:hAnsi="Malgun Gothic"/>
          <w:color w:val="888888"/>
          <w:sz w:val="20"/>
          <w:szCs w:val="20"/>
        </w:rPr>
        <w:t xml:space="preserve">Design Leadership · 2026.04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562873"/>
          <w:sz w:val="36"/>
          <w:szCs w:val="36"/>
        </w:rPr>
        <w:t xml:space="preserve">0. 이 문서에 대하여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0.1. 배경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컬러 재정립 프로세스 진행 중 디자인총괄으로부터 다음 제안이 제기되었다.</w:t>
      </w:r>
    </w:p>
    <w:p>
      <w:pPr>
        <w:spacing w:after="120"/>
      </w:pPr>
      <w:r>
        <w:t xml:space="preserve"/>
      </w:r>
    </w:p>
    <w:p>
      <w:pPr>
        <w:pBdr>
          <w:left w:val="single" w:color="562873" w:sz="16" w:space="8"/>
        </w:pBdr>
        <w:spacing w:after="120" w:before="120"/>
        <w:ind w:left="360"/>
      </w:pPr>
      <w:r>
        <w:rPr>
          <w:rFonts w:ascii="Malgun Gothic" w:cs="Malgun Gothic" w:eastAsia="Malgun Gothic" w:hAnsi="Malgun Gothic"/>
          <w:i/>
          <w:iCs/>
          <w:color w:val="333333"/>
          <w:sz w:val="22"/>
          <w:szCs w:val="22"/>
        </w:rPr>
        <w:t xml:space="preserve">"퍼플과 바이올렛 계열을 합쳐서 컬러 팔레트의 스펙트럼을 넓혀 보는 것도 좋지 않을까?"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본 문서는 이 제안의 실무적 타당성을 검토한다. 세 가지 Hue 운영 전략을 비교하고, 각 전략의 장단점·사례·미라젯 적용 시 예상 효과를 정리한다.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0.2. 문서의 위상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본 문서는 Hue 운영 방침 결정 자료다. 구체적 컬러 값 확정은 별도 문서(mirajet_color_exploration_v1.docx)에서 다룬다. 두 문서는 상호 보완적이다.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0.3. 용어 정리</w:t>
      </w:r>
    </w:p>
    <w:tbl>
      <w:tblPr>
        <w:tblW w:type="dxa" w:w="88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400"/>
      </w:tblGrid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용어</w:t>
            </w:r>
          </w:p>
        </w:tc>
        <w:tc>
          <w:tcPr>
            <w:tcW w:type="dxa" w:w="6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정의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Hue (색조)</w:t>
            </w:r>
          </w:p>
        </w:tc>
        <w:tc>
          <w:tcPr>
            <w:tcW w:type="dxa" w:w="6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색의 방향. 색상환 상의 각도 (0°=빨강, 240°=파랑, 270~290°=바이올렛, 290~320°=퍼플)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Tint (틴트)</w:t>
            </w:r>
          </w:p>
        </w:tc>
        <w:tc>
          <w:tcPr>
            <w:tcW w:type="dxa" w:w="6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특정 Hue에 흰색을 섞은 밝은 변형. 동일 Hue 유지, 명도만 증가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Shade (셰이드)</w:t>
            </w:r>
          </w:p>
        </w:tc>
        <w:tc>
          <w:tcPr>
            <w:tcW w:type="dxa" w:w="6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특정 Hue에 검정을 섞은 어두운 변형. 동일 Hue 유지, 명도만 감소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Purple</w:t>
            </w:r>
          </w:p>
        </w:tc>
        <w:tc>
          <w:tcPr>
            <w:tcW w:type="dxa" w:w="6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색상환 Hue 290~320°. Red 쪽으로 기운 퍼플. 화려·감성·럭셔리 연상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Violet</w:t>
            </w:r>
          </w:p>
        </w:tc>
        <w:tc>
          <w:tcPr>
            <w:tcW w:type="dxa" w:w="6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색상환 Hue 270~290°. Blue 쪽으로 기운 퍼플. 차분·학술·과학 연상</w:t>
            </w:r>
          </w:p>
        </w:tc>
      </w:tr>
    </w:tbl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562873"/>
          <w:sz w:val="36"/>
          <w:szCs w:val="36"/>
        </w:rPr>
        <w:t xml:space="preserve">1. 세 가지 전략 정의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미라젯 브랜드 컬러 운영은 아래 세 가지 전략 중 하나를 선택해야 한다. 각 전략은 팔레트의 "폭"이 다르다.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1.1. 전략 A — 단일 Hue · 단일 톤 (현재 기본형)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하나의 Hue, 하나의 대표 톤만 운영. 미라젯의 현 운영 방식에 가까움.</w:t>
      </w:r>
    </w:p>
    <w:p>
      <w:pPr>
        <w:spacing w:after="120"/>
      </w:pPr>
      <w:r>
        <w:t xml:space="preserve"/>
      </w:r>
    </w:p>
    <w:tbl>
      <w:tblPr>
        <w:tblW w:type="dxa" w:w="8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1600"/>
        <w:gridCol w:w="4400"/>
      </w:tblGrid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역할</w:t>
            </w:r>
          </w:p>
        </w:tc>
        <w:tc>
          <w:tcPr>
            <w:tcW w:type="dxa" w:w="1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562873" w:val="clear"/>
            <w:tcMar>
              <w:top w:type="dxa" w:w="200"/>
              <w:left w:type="dxa" w:w="100"/>
              <w:bottom w:type="dxa" w:w="200"/>
              <w:right w:type="dxa" w:w="10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18"/>
                <w:szCs w:val="18"/>
              </w:rPr>
              <w:t xml:space="preserve">#562873</w:t>
            </w:r>
          </w:p>
        </w:tc>
        <w:tc>
          <w:tcPr>
            <w:tcW w:type="dxa" w:w="4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용도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Main</w:t>
            </w:r>
          </w:p>
        </w:tc>
        <w:tc>
          <w:tcPr>
            <w:tcW w:type="dxa" w:w="1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562873" w:val="clear"/>
            <w:tcMar>
              <w:top w:type="dxa" w:w="200"/>
              <w:left w:type="dxa" w:w="100"/>
              <w:bottom w:type="dxa" w:w="200"/>
              <w:right w:type="dxa" w:w="10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18"/>
                <w:szCs w:val="18"/>
              </w:rPr>
              <w:t xml:space="preserve"/>
            </w:r>
          </w:p>
        </w:tc>
        <w:tc>
          <w:tcPr>
            <w:tcW w:type="dxa" w:w="4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모든 브랜드 표현 · 타이틀 · 액센트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장점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브랜드 인식 가장 명확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디자인 규율 판단 비용 최소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인쇄 재현 일관성 관리 쉬움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시그니처 컬러 등가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단점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페이지마다 시각적 변화 부재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위계 표현 어려움 (같은 컬러 안에서 강조/약세 구분 불가)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지루함 발생 가능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대표 사례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Coca-Cola: 단일 레드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Tiffany: 단일 Tiffany Blue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현재 미라젯 BI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1.2. 전략 B — 단일 Hue · Tint/Shade 확장 (점층형)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하나의 Hue를 유지하되, 명도만 단계적으로 조정한 변형들을 함께 운영. Northwestern이 채택하는 방식.</w:t>
      </w:r>
    </w:p>
    <w:p>
      <w:pPr>
        <w:spacing w:after="120"/>
      </w:pPr>
      <w:r>
        <w:t xml:space="preserve"/>
      </w:r>
    </w:p>
    <w:tbl>
      <w:tblPr>
        <w:tblW w:type="dxa" w:w="8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900"/>
        <w:gridCol w:w="1100"/>
        <w:gridCol w:w="1100"/>
        <w:gridCol w:w="1100"/>
        <w:gridCol w:w="1100"/>
        <w:gridCol w:w="2100"/>
      </w:tblGrid>
      <w:tr>
        <w:tc>
          <w:tcPr>
            <w:tcW w:type="dxa" w:w="19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역할</w:t>
            </w:r>
          </w:p>
        </w:tc>
        <w:tc>
          <w:tcPr>
            <w:tcW w:type="dxa" w:w="11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A174A" w:val="clear"/>
            <w:tcMar>
              <w:top w:type="dxa" w:w="200"/>
              <w:left w:type="dxa" w:w="100"/>
              <w:bottom w:type="dxa" w:w="200"/>
              <w:right w:type="dxa" w:w="10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18"/>
                <w:szCs w:val="18"/>
              </w:rPr>
              <w:t xml:space="preserve">셰이드</w:t>
            </w:r>
          </w:p>
        </w:tc>
        <w:tc>
          <w:tcPr>
            <w:tcW w:type="dxa" w:w="11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4E2A84" w:val="clear"/>
            <w:tcMar>
              <w:top w:type="dxa" w:w="200"/>
              <w:left w:type="dxa" w:w="100"/>
              <w:bottom w:type="dxa" w:w="200"/>
              <w:right w:type="dxa" w:w="10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18"/>
                <w:szCs w:val="18"/>
              </w:rPr>
              <w:t xml:space="preserve">메인</w:t>
            </w:r>
          </w:p>
        </w:tc>
        <w:tc>
          <w:tcPr>
            <w:tcW w:type="dxa" w:w="11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836EAA" w:val="clear"/>
            <w:tcMar>
              <w:top w:type="dxa" w:w="200"/>
              <w:left w:type="dxa" w:w="100"/>
              <w:bottom w:type="dxa" w:w="200"/>
              <w:right w:type="dxa" w:w="10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18"/>
                <w:szCs w:val="18"/>
              </w:rPr>
              <w:t xml:space="preserve">틴트</w:t>
            </w:r>
          </w:p>
        </w:tc>
        <w:tc>
          <w:tcPr>
            <w:tcW w:type="dxa" w:w="11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E4E0EE" w:val="clear"/>
            <w:tcMar>
              <w:top w:type="dxa" w:w="200"/>
              <w:left w:type="dxa" w:w="100"/>
              <w:bottom w:type="dxa" w:w="200"/>
              <w:right w:type="dxa" w:w="10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18"/>
                <w:szCs w:val="18"/>
              </w:rPr>
              <w:t xml:space="preserve">최밝</w:t>
            </w:r>
          </w:p>
        </w:tc>
        <w:tc>
          <w:tcPr>
            <w:tcW w:type="dxa" w:w="21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위계</w:t>
            </w:r>
          </w:p>
        </w:tc>
      </w:tr>
      <w:tr>
        <w:tc>
          <w:tcPr>
            <w:tcW w:type="dxa" w:w="19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Hue</w:t>
            </w:r>
          </w:p>
        </w:tc>
        <w:tc>
          <w:tcPr>
            <w:tcW w:type="dxa" w:w="11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264°</w:t>
            </w:r>
          </w:p>
        </w:tc>
        <w:tc>
          <w:tcPr>
            <w:tcW w:type="dxa" w:w="11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264°</w:t>
            </w:r>
          </w:p>
        </w:tc>
        <w:tc>
          <w:tcPr>
            <w:tcW w:type="dxa" w:w="11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264°</w:t>
            </w:r>
          </w:p>
        </w:tc>
        <w:tc>
          <w:tcPr>
            <w:tcW w:type="dxa" w:w="11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264°</w:t>
            </w:r>
          </w:p>
        </w:tc>
        <w:tc>
          <w:tcPr>
            <w:tcW w:type="dxa" w:w="21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동일 Hue 유지</w:t>
            </w:r>
          </w:p>
        </w:tc>
      </w:tr>
      <w:tr>
        <w:tc>
          <w:tcPr>
            <w:tcW w:type="dxa" w:w="19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명도 (L)</w:t>
            </w:r>
          </w:p>
        </w:tc>
        <w:tc>
          <w:tcPr>
            <w:tcW w:type="dxa" w:w="11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19%</w:t>
            </w:r>
          </w:p>
        </w:tc>
        <w:tc>
          <w:tcPr>
            <w:tcW w:type="dxa" w:w="11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34%</w:t>
            </w:r>
          </w:p>
        </w:tc>
        <w:tc>
          <w:tcPr>
            <w:tcW w:type="dxa" w:w="11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55%</w:t>
            </w:r>
          </w:p>
        </w:tc>
        <w:tc>
          <w:tcPr>
            <w:tcW w:type="dxa" w:w="11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92%</w:t>
            </w:r>
          </w:p>
        </w:tc>
        <w:tc>
          <w:tcPr>
            <w:tcW w:type="dxa" w:w="21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4단계 명도 차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80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위 수치는 Northwestern Purple 체계의 근사값 예시. 실제 스케일은 10단계(Purple 10~160)로 운영됨.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장점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단일 Hue의 브랜드 명확성 유지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명도 차이로 자연스러운 위계 표현 가능 (헤드라인=진하게, 서브=중간, 배경=연하게)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인쇄 시 같은 Pantone 계열이므로 재현성 높음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디자이너 판단 단순 ("밝게 할까, 진하게 할까"만 결정)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국제적으로 검증된 방식 (대학·미술관·의료기관 다수 채택)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단점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여전히 "한 가지 색"으로 보일 수 있어 시각적 다양성 제한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명도 차이만으로는 감정적 대비가 약함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연한 톤 사용 시 배경처럼 보여 의도 흐려질 위험 (→ 사용자 지시: 연한 퍼플 배경 지양)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대표 사례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Northwestern University: Purple 10~160 (10단계)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Yale University: Yale Blue + Tint/Shade 변형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IBM: Carbon Gray Scale (그레이 적용이지만 동일 원리)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1.3. 전략 C — Hue 스펙트럼 확장 (사용자 제안형)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2~3개의 인접한 Hue를 함께 운영. Purple(Red-Purple) + Violet(Blue-Purple) 병행.</w:t>
      </w:r>
    </w:p>
    <w:p>
      <w:pPr>
        <w:spacing w:after="120"/>
      </w:pPr>
      <w:r>
        <w:t xml:space="preserve"/>
      </w:r>
    </w:p>
    <w:tbl>
      <w:tblPr>
        <w:tblW w:type="dxa" w:w="8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900"/>
        <w:gridCol w:w="1500"/>
        <w:gridCol w:w="1500"/>
        <w:gridCol w:w="1500"/>
        <w:gridCol w:w="2000"/>
      </w:tblGrid>
      <w:tr>
        <w:tc>
          <w:tcPr>
            <w:tcW w:type="dxa" w:w="19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역할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4E2A84" w:val="clear"/>
            <w:tcMar>
              <w:top w:type="dxa" w:w="200"/>
              <w:left w:type="dxa" w:w="100"/>
              <w:bottom w:type="dxa" w:w="200"/>
              <w:right w:type="dxa" w:w="10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18"/>
                <w:szCs w:val="18"/>
              </w:rPr>
              <w:t xml:space="preserve">Violet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562873" w:val="clear"/>
            <w:tcMar>
              <w:top w:type="dxa" w:w="200"/>
              <w:left w:type="dxa" w:w="100"/>
              <w:bottom w:type="dxa" w:w="200"/>
              <w:right w:type="dxa" w:w="10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18"/>
                <w:szCs w:val="18"/>
              </w:rPr>
              <w:t xml:space="preserve">Purple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7B2D8E" w:val="clear"/>
            <w:tcMar>
              <w:top w:type="dxa" w:w="200"/>
              <w:left w:type="dxa" w:w="100"/>
              <w:bottom w:type="dxa" w:w="200"/>
              <w:right w:type="dxa" w:w="10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18"/>
                <w:szCs w:val="18"/>
              </w:rPr>
              <w:t xml:space="preserve">Magenta-P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Hue 관계</w:t>
            </w:r>
          </w:p>
        </w:tc>
      </w:tr>
      <w:tr>
        <w:tc>
          <w:tcPr>
            <w:tcW w:type="dxa" w:w="19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Hue (근사)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264°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280°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295°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약 30° 간격</w:t>
            </w:r>
          </w:p>
        </w:tc>
      </w:tr>
      <w:tr>
        <w:tc>
          <w:tcPr>
            <w:tcW w:type="dxa" w:w="19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명도 (L)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34%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30%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37%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비슷한 명도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장점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시각적 풍부함·깊이 증가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감정적 대비 가능 (차분한 바이올렛 vs 화려한 퍼플)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섹션별 성격 부여 가능 (기술 섹션=바이올렛, 시술 섹션=퍼플)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단조로움 해소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단점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브랜드 식별 약화 위험 ("미라젯 = 어떤 퍼플?" 애매해짐)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디자이너 규율 어려움 (언제 어떤 톤을 쓸지 매번 판단 필요)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잘못 쓰면 "색이 많다"는 인상 → 잡다함으로 귀결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인쇄 시 각 Hue의 재현을 별도 관리해야 함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BI 가이드라인 복잡도 증가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사용자 지시: 연한 퍼플 배경 지양 — 대응 방식 추가 필요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대표 사례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Thermage: Plum + Mulberry + Eggplant (인접 Hue 2~3개)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Sculptra: Deep Violet + Soft Lilac (Hue 확장이라기보다 극단 명도 대비)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Byredo: Lavender + Plum + Cream (니치 뷰티 브랜드)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562873"/>
          <w:sz w:val="36"/>
          <w:szCs w:val="36"/>
        </w:rPr>
        <w:t xml:space="preserve">2. 전략 비교 매트릭스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2.1. 다섯 가지 기준으로 비교</w:t>
      </w:r>
    </w:p>
    <w:tbl>
      <w:tblPr>
        <w:tblW w:type="dxa" w:w="8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000"/>
        <w:gridCol w:w="2000"/>
        <w:gridCol w:w="2000"/>
      </w:tblGrid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평가 기준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전략 A
단일 톤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전략 B
Tint/Shade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전략 C
Hue 확장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브랜드 식별성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★★★★★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★★★★☆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★★★☆☆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시각적 풍부함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★★☆☆☆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★★★★☆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★★★★★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위계 표현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★★☆☆☆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★★★★★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★★★★☆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디자인 규율 용이성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★★★★★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★★★★☆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★★☆☆☆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인쇄 재현 안정성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★★★★★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★★★★☆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★★★☆☆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합계 (25점 만점)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19점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22점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17점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80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※ 평가는 디자인 총괄 1인의 주관 판단이며, 경영진·시장 판단과 다를 수 있음.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2.2. 매트릭스 해석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전략 B (Tint/Shade 확장)가 5개 기준의 균형에서 가장 높은 점수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합계 22점 — "브랜드 식별성"과 "시각적 풍부함"을 모두 확보하면서 디자인 규율·인쇄 안정성도 유지한다. 단일 Hue 안에서 명도 스펙트럼을 운영하는 방식이다.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전략 C (Hue 확장)는 시각적 풍부함은 최고이나 브랜드 식별성·디자인 규율에서 감점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합계 17점 — 잘 쓰면 풍부하지만 못 쓰면 잡다해진다. 성공과 실패의 편차가 가장 크다.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전략 A (단일 톤)는 현재 운영 방식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합계 19점 — 안전하지만 지루함이 발생할 수 있다. "촌스럽다" 지적의 근본 원인이 여기에 있을 수 있다.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562873"/>
          <w:sz w:val="36"/>
          <w:szCs w:val="36"/>
        </w:rPr>
        <w:t xml:space="preserve">3. 미라젯 적용 시 시뮬레이션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각 전략을 미라젯 브로셔에 적용했을 때의 구체적 결과를 예상한다.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3.1. 전략 B 적용 시 — Tint/Shade 확장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Northwestern Purple(#4E2A84) 기반으로 미라젯 Tint/Shade를 구성한다고 가정.</w:t>
      </w:r>
    </w:p>
    <w:p>
      <w:pPr>
        <w:spacing w:after="120"/>
      </w:pPr>
      <w:r>
        <w:t xml:space="preserve"/>
      </w:r>
    </w:p>
    <w:tbl>
      <w:tblPr>
        <w:tblW w:type="dxa" w:w="8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00"/>
        <w:gridCol w:w="1400"/>
        <w:gridCol w:w="1400"/>
        <w:gridCol w:w="1400"/>
        <w:gridCol w:w="1400"/>
        <w:gridCol w:w="1400"/>
      </w:tblGrid>
      <w:tr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단계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A174A" w:val="clear"/>
            <w:tcMar>
              <w:top w:type="dxa" w:w="200"/>
              <w:left w:type="dxa" w:w="100"/>
              <w:bottom w:type="dxa" w:w="200"/>
              <w:right w:type="dxa" w:w="10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18"/>
                <w:szCs w:val="18"/>
              </w:rPr>
              <w:t xml:space="preserve">160 (최진)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3E2266" w:val="clear"/>
            <w:tcMar>
              <w:top w:type="dxa" w:w="200"/>
              <w:left w:type="dxa" w:w="100"/>
              <w:bottom w:type="dxa" w:w="200"/>
              <w:right w:type="dxa" w:w="10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18"/>
                <w:szCs w:val="18"/>
              </w:rPr>
              <w:t xml:space="preserve">120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4E2A84" w:val="clear"/>
            <w:tcMar>
              <w:top w:type="dxa" w:w="200"/>
              <w:left w:type="dxa" w:w="100"/>
              <w:bottom w:type="dxa" w:w="200"/>
              <w:right w:type="dxa" w:w="10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18"/>
                <w:szCs w:val="18"/>
              </w:rPr>
              <w:t xml:space="preserve">100 (Main)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8A6EAA" w:val="clear"/>
            <w:tcMar>
              <w:top w:type="dxa" w:w="200"/>
              <w:left w:type="dxa" w:w="100"/>
              <w:bottom w:type="dxa" w:w="200"/>
              <w:right w:type="dxa" w:w="10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18"/>
                <w:szCs w:val="18"/>
              </w:rPr>
              <w:t xml:space="preserve">50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E4E0EE" w:val="clear"/>
            <w:tcMar>
              <w:top w:type="dxa" w:w="200"/>
              <w:left w:type="dxa" w:w="100"/>
              <w:bottom w:type="dxa" w:w="200"/>
              <w:right w:type="dxa" w:w="10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555555"/>
                <w:sz w:val="18"/>
                <w:szCs w:val="18"/>
              </w:rPr>
              <w:t xml:space="preserve">10 (최밝)</w:t>
            </w:r>
          </w:p>
        </w:tc>
      </w:tr>
      <w:tr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HEX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#2A174A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#3E2266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#4E2A84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#8A6EAA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#E4E0EE</w:t>
            </w:r>
          </w:p>
        </w:tc>
      </w:tr>
      <w:tr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용도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헤드 섹션 반전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헤드라인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액센트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서브 정보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color w:val="C02626"/>
                <w:sz w:val="18"/>
                <w:szCs w:val="18"/>
              </w:rPr>
              <w:t xml:space="preserve">배경 틴트※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80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※ 사용자 지시 "연한 퍼플 배경 지양"에 따라 최밝 틴트(#E4E0EE)는 배경 용도로 사용 배제. 화이트 배경 + Tint/Shade는 전경 요소로만 운영.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이 전략의 미라젯 브로셔 적용 방식 예시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표지 헤드라인 "Precision Delivery" — Main #4E2A84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본문 H2 타이틀 — Shade 120 #3E2266 (더 진하게)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서브 정보·태그 — Tint 50 #8A6EAA (더 연하게)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인증·법정 고지 — 블랙 또는 다크 그레이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예상 효과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페이지 내 위계가 3단계(진한-중간-연한)로 명확해짐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Main 하나만 쓸 때보다 시각적 깊이 확보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브랜드 식별은 단일 Hue(264°)로 유지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3.2. 전략 C 적용 시 — Hue 확장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Violet(Blue-Purple) + Purple(Red-Purple) 두 Hue를 병행한다고 가정.</w:t>
      </w:r>
    </w:p>
    <w:p>
      <w:pPr>
        <w:spacing w:after="120"/>
      </w:pPr>
      <w:r>
        <w:t xml:space="preserve"/>
      </w:r>
    </w:p>
    <w:tbl>
      <w:tblPr>
        <w:tblW w:type="dxa" w:w="88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1800"/>
        <w:gridCol w:w="1800"/>
        <w:gridCol w:w="3200"/>
      </w:tblGrid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역할</w:t>
            </w:r>
          </w:p>
        </w:tc>
        <w:tc>
          <w:tcPr>
            <w:tcW w:type="dxa" w:w="1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4E2A84" w:val="clear"/>
            <w:tcMar>
              <w:top w:type="dxa" w:w="200"/>
              <w:left w:type="dxa" w:w="100"/>
              <w:bottom w:type="dxa" w:w="200"/>
              <w:right w:type="dxa" w:w="10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18"/>
                <w:szCs w:val="18"/>
              </w:rPr>
              <w:t xml:space="preserve">Violet</w:t>
            </w:r>
          </w:p>
        </w:tc>
        <w:tc>
          <w:tcPr>
            <w:tcW w:type="dxa" w:w="1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5B2C5F" w:val="clear"/>
            <w:tcMar>
              <w:top w:type="dxa" w:w="200"/>
              <w:left w:type="dxa" w:w="100"/>
              <w:bottom w:type="dxa" w:w="200"/>
              <w:right w:type="dxa" w:w="10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18"/>
                <w:szCs w:val="18"/>
              </w:rPr>
              <w:t xml:space="preserve">Purple</w:t>
            </w:r>
          </w:p>
        </w:tc>
        <w:tc>
          <w:tcPr>
            <w:tcW w:type="dxa" w:w="3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구분 기준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Signature</w:t>
            </w:r>
          </w:p>
        </w:tc>
        <w:tc>
          <w:tcPr>
            <w:tcW w:type="dxa" w:w="1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Main</w:t>
            </w:r>
          </w:p>
        </w:tc>
        <w:tc>
          <w:tcPr>
            <w:tcW w:type="dxa" w:w="1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Accent</w:t>
            </w:r>
          </w:p>
        </w:tc>
        <w:tc>
          <w:tcPr>
            <w:tcW w:type="dxa" w:w="3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Violet이 브랜드 대표 (표지·CI)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기술·임상 섹션</w:t>
            </w:r>
          </w:p>
        </w:tc>
        <w:tc>
          <w:tcPr>
            <w:tcW w:type="dxa" w:w="1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color w:val="2E8B57"/>
                <w:sz w:val="20"/>
                <w:szCs w:val="20"/>
              </w:rPr>
              <w:t xml:space="preserve">★</w:t>
            </w:r>
          </w:p>
        </w:tc>
        <w:tc>
          <w:tcPr>
            <w:tcW w:type="dxa" w:w="1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/>
            </w:r>
          </w:p>
        </w:tc>
        <w:tc>
          <w:tcPr>
            <w:tcW w:type="dxa" w:w="3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차분·학술적 톤 (p.3·p.7)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시술·라이프 섹션</w:t>
            </w:r>
          </w:p>
        </w:tc>
        <w:tc>
          <w:tcPr>
            <w:tcW w:type="dxa" w:w="1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/>
            </w:r>
          </w:p>
        </w:tc>
        <w:tc>
          <w:tcPr>
            <w:tcW w:type="dxa" w:w="1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color w:val="2E8B57"/>
                <w:sz w:val="20"/>
                <w:szCs w:val="20"/>
              </w:rPr>
              <w:t xml:space="preserve">★</w:t>
            </w:r>
          </w:p>
        </w:tc>
        <w:tc>
          <w:tcPr>
            <w:tcW w:type="dxa" w:w="3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따뜻·감성적 톤 (p.5·p.11)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공통 요소</w:t>
            </w:r>
          </w:p>
        </w:tc>
        <w:tc>
          <w:tcPr>
            <w:tcW w:type="dxa" w:w="1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color w:val="2E8B57"/>
                <w:sz w:val="20"/>
                <w:szCs w:val="20"/>
              </w:rPr>
              <w:t xml:space="preserve">★</w:t>
            </w:r>
          </w:p>
        </w:tc>
        <w:tc>
          <w:tcPr>
            <w:tcW w:type="dxa" w:w="1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/>
            </w:r>
          </w:p>
        </w:tc>
        <w:tc>
          <w:tcPr>
            <w:tcW w:type="dxa" w:w="3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로고·타이틀은 Violet 고정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이 전략의 미라젯 브로셔 적용 방식 예시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표지·로고·브랜드 시그니처 — Violet #4E2A84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p.3 Mechanism·p.7 Clinical Evidence — Violet (기술·학술)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p.5 Benefits·p.11 Campaign — Purple #5B2C5F (환자·감성)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p.8 Publications·p.9 Certifications — Violet (학술)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p.10 Product·p.12 Contact — Violet (공통 프레임)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예상 효과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섹션별 "무드"가 느껴져 독자 경험 풍부해짐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개원의가 기술·시술 두 측면을 직관적으로 구분 가능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브로셔 넘기는 흐름에 "음악적 리듬" 생성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실패 시 예상되는 모습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두 컬러가 시각적으로 유사해서 "굳이 두 개?" 의문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디자이너가 경계 구분을 명확히 못 해서 섹션 간 혼재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인쇄 시 두 Pantone의 발색이 달라서 균형 깨짐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브랜드 식별 시 "미라젯 = 어떤 컬러?" 혼란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562873"/>
          <w:sz w:val="36"/>
          <w:szCs w:val="36"/>
        </w:rPr>
        <w:t xml:space="preserve">4. 권장 방향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4.1. 디자인 총괄의 판단 (참고용)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본 문서 작성자의 판단을 참고 자료로 제시한다. 최종 결정은 경영진·트랙 B 프로세스에서 내려져야 한다.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1순위 권장: 전략 B (Tint/Shade 확장)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매트릭스 점수 최고 (22점)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"촌스럽다" 문제를 브랜드 식별성을 해치지 않고 해결 가능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현재 미라젯 BI에 이미 Dark/Light Purple 두 단계가 있어 자연스러운 확장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구현 복잡도 낮음 · BI 가이드라인 개정 범위 제한적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2순위 조건부 고려: 전략 C (Hue 확장)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시각적 풍부함이 극대화되나 리스크 큼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아래 조건이 모두 충족되면 도전 가치 있음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  → 외부 브랜드 컨설턴트 자문 확보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  → BI 가이드라인 상세 운영 규칙 작성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  → 사내 디자이너 교육·규율 체계 마련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  → 트랙 B 정식 프로젝트 수준의 투자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3순위: 전략 A (현 단일 톤 유지)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가장 안전하나 현 문제 의식을 해결하지 못함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다만 Main 컬러 자체를 Northwestern 계열로 교체하면 상당 부분 해소 가능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4.2. 권장 로드맵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즉시 실행 가능한 것과 장기 검토할 것을 분리한다.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단기 (현 브로셔 리뉴얼 범위)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전략 B 채택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Main 후보 선정 후 해당 Hue의 Dark Shade + Light Tint 함께 정의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와이어프레임 v3.0에 3단계 명도 위계 적용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중기 (트랙 B 초기 6개월)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전략 C 검토 프로젝트 병렬 진행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외부 브랜드 컨설턴트 자문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사례 연구 (Thermage·Sculptra 등 Hue 확장 브랜드)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장기 (트랙 B 12개월+)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전략 C 도입 결정 시 BI 가이드라인 v2.0 전면 개정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모든 애플리케이션 재디자인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디자이너 규율 교육 체계화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562873"/>
          <w:sz w:val="36"/>
          <w:szCs w:val="36"/>
        </w:rPr>
        <w:t xml:space="preserve">5. 제한사항 및 주의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5.1. 본 문서가 다루지 않는 것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구체적 Hue 조합의 선호도 조사 (시장 조사 영역)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한국 의료기기 시장에서 "Hue 확장 브랜드"의 수용성 (별도 조사 필요)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경쟁사 컬러 포지셔닝 중복 회피 (별도 분석 필요)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인쇄 실측 테스트 결과 (실제 교정지 확인 필수)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5.2. 디자인 총괄 판단의 주관성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4장의 권장은 디자인 실무 경험 기반 판단이다. 다음 요인에 따라 다른 결론이 날 수 있다.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브랜드 컨설턴트는 시장 포지셔닝 차별화를 더 중시할 수 있음 → 전략 C 지지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경영진은 비용·리스크를 더 중시할 수 있음 → 전략 B 지지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마케팅팀은 시각적 임팩트를 더 중시할 수 있음 → 전략 C 지지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영업팀은 개원의 기존 인식 연속성을 더 중시할 수 있음 → 전략 A 또는 B 지지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5.3. 매트릭스 점수의 한계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2.1장의 5점 척도 평가는 정량적 측정이 아닌 주관적 추정이다. 객관성을 확보하려면 다음이 필요하다.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복수 디자이너의 독립 평가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정의된 평가 기준 가중치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실제 테스트 결과 기반 재평가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5.4. Hue 확장이 "촌스럽다" 해결책이 맞는가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사용자께서 제기한 "촌스럽다" 문제의 근본 원인은 여전히 **Main 컬러 자체의 속성**에 있을 가능성이 크다. Hue 확장만으로 이 문제가 해결되지 않을 수 있다. 우선순위는 다음과 같아야 한다.</w:t>
      </w:r>
    </w:p>
    <w:p>
      <w:pPr>
        <w:spacing w:after="12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① Main 컬러 속성 개선 (Pantone 269C 재검토) — 가장 근본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② Tint/Shade 확장으로 위계 표현 강화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③ 배경 팔레트 다변화로 시각적 리듬 확보 (별도 문서 참조)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④ Hue 확장은 ①~③이 안정된 후 검토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5.5. 본 문서와 다른 문서의 관계</w:t>
      </w:r>
    </w:p>
    <w:tbl>
      <w:tblPr>
        <w:tblW w:type="dxa" w:w="88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400"/>
        <w:gridCol w:w="5400"/>
      </w:tblGrid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문서</w:t>
            </w:r>
          </w:p>
        </w:tc>
        <w:tc>
          <w:tcPr>
            <w:tcW w:type="dxa" w:w="5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역할</w:t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mirajet_color_exploration_v1.docx</w:t>
            </w:r>
          </w:p>
        </w:tc>
        <w:tc>
          <w:tcPr>
            <w:tcW w:type="dxa" w:w="5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Main 컬러 후보 5종 탐색 (구체적 컬러 값)</w:t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18"/>
                <w:szCs w:val="18"/>
              </w:rPr>
              <w:t xml:space="preserve">mirajet_hue_expansion_study.docx (본 문서)</w:t>
            </w:r>
          </w:p>
        </w:tc>
        <w:tc>
          <w:tcPr>
            <w:tcW w:type="dxa" w:w="5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Hue 운영 전략 3종 비교 (운영 방침)</w:t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mirajet_background_palette_proposal.docx (작성 예정)</w:t>
            </w:r>
          </w:p>
        </w:tc>
        <w:tc>
          <w:tcPr>
            <w:tcW w:type="dxa" w:w="5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배경 컬러 다변화 트랙 B 정식 제안서</w:t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mirajet_color_guideline_v1.docx</w:t>
            </w:r>
          </w:p>
        </w:tc>
        <w:tc>
          <w:tcPr>
            <w:tcW w:type="dxa" w:w="5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현재 컬러의 사용 지침 (면적·비율·금지 사례)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200" w:before="400"/>
        <w:jc w:val="center"/>
      </w:pPr>
      <w:r>
        <w:rPr>
          <w:rFonts w:ascii="Malgun Gothic" w:cs="Malgun Gothic" w:eastAsia="Malgun Gothic" w:hAnsi="Malgun Gothic"/>
          <w:i/>
          <w:iCs/>
          <w:color w:val="888888"/>
          <w:sz w:val="20"/>
          <w:szCs w:val="20"/>
        </w:rPr>
        <w:t xml:space="preserve">— 문서 끝 —</w:t>
      </w:r>
    </w:p>
    <w:sectPr>
      <w:headerReference w:type="default" r:id="rId7"/>
      <w:footerReference w:type="default" r:id="rId8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Malgun Gothic" w:cs="Malgun Gothic" w:eastAsia="Malgun Gothic" w:hAnsi="Malgun Gothic"/>
        <w:sz w:val="16"/>
        <w:szCs w:val="16"/>
      </w:rPr>
      <w:fldChar w:fldCharType="begin"/>
      <w:instrText xml:space="preserve">PAGE</w:instrText>
      <w:fldChar w:fldCharType="separate"/>
      <w:fldChar w:fldCharType="end"/>
    </w:r>
    <w:r>
      <w:rPr>
        <w:rFonts w:ascii="Malgun Gothic" w:cs="Malgun Gothic" w:eastAsia="Malgun Gothic" w:hAnsi="Malgun Gothic"/>
        <w:sz w:val="16"/>
        <w:szCs w:val="16"/>
      </w:rPr>
      <w:t xml:space="preserve"> / </w:t>
    </w:r>
    <w:r>
      <w:rPr>
        <w:rFonts w:ascii="Malgun Gothic" w:cs="Malgun Gothic" w:eastAsia="Malgun Gothic" w:hAnsi="Malgun Gothic"/>
        <w:sz w:val="16"/>
        <w:szCs w:val="16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rFonts w:ascii="Malgun Gothic" w:cs="Malgun Gothic" w:eastAsia="Malgun Gothic" w:hAnsi="Malgun Gothic"/>
        <w:color w:val="888888"/>
        <w:sz w:val="16"/>
        <w:szCs w:val="16"/>
      </w:rPr>
      <w:t xml:space="preserve">mirajet Hue Expansion Study v1.0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  <w:lvl w:ilvl="1" w15:tentative="1">
      <w:start w:val="1"/>
      <w:numFmt w:val="bullet"/>
      <w:lvlText w:val="◦"/>
      <w:lvlJc w:val="left"/>
      <w:pPr>
        <w:ind w:left="144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algun Gothic" w:cs="Malgun Gothic" w:eastAsia="Malgun Gothic" w:hAnsi="Malgun Gothic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400"/>
      <w:outlineLvl w:val="0"/>
    </w:pPr>
    <w:rPr>
      <w:rFonts w:ascii="Malgun Gothic" w:cs="Malgun Gothic" w:eastAsia="Malgun Gothic" w:hAnsi="Malgun Gothic"/>
      <w:b/>
      <w:bCs/>
      <w:color w:val="562873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160" w:before="300"/>
      <w:outlineLvl w:val="1"/>
    </w:pPr>
    <w:rPr>
      <w:rFonts w:ascii="Malgun Gothic" w:cs="Malgun Gothic" w:eastAsia="Malgun Gothic" w:hAnsi="Malgun Gothic"/>
      <w:b/>
      <w:bCs/>
      <w:color w:val="333333"/>
      <w:sz w:val="28"/>
      <w:szCs w:val="28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mirajet Hue Expansion Study v1.0</dc:title>
  <dc:creator>JSK BIOMED Design Lead</dc:creator>
  <cp:lastModifiedBy>Un-named</cp:lastModifiedBy>
  <cp:revision>1</cp:revision>
  <dcterms:created xsi:type="dcterms:W3CDTF">2026-04-20T14:37:14.612Z</dcterms:created>
  <dcterms:modified xsi:type="dcterms:W3CDTF">2026-04-20T14:37:14.612Z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