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600"/>
      </w:pPr>
      <w:r>
        <w:t xml:space="preserve"/>
      </w:r>
    </w:p>
    <w:p>
      <w:pPr>
        <w:spacing w:after="120"/>
        <w:jc w:val="center"/>
      </w:pPr>
      <w:r>
        <w:rPr>
          <w:rFonts w:ascii="Malgun Gothic" w:cs="Malgun Gothic" w:eastAsia="Malgun Gothic" w:hAnsi="Malgun Gothic"/>
          <w:b/>
          <w:bCs/>
          <w:color w:val="4A1F75"/>
          <w:sz w:val="80"/>
          <w:szCs w:val="80"/>
        </w:rPr>
        <w:t xml:space="preserve">mirajet</w:t>
      </w:r>
    </w:p>
    <w:p>
      <w:pPr>
        <w:spacing w:after="400"/>
        <w:jc w:val="center"/>
      </w:pPr>
      <w:r>
        <w:rPr>
          <w:rFonts w:ascii="Malgun Gothic" w:cs="Malgun Gothic" w:eastAsia="Malgun Gothic" w:hAnsi="Malgun Gothic"/>
          <w:i/>
          <w:iCs/>
          <w:color w:val="333333"/>
          <w:sz w:val="32"/>
          <w:szCs w:val="32"/>
        </w:rPr>
        <w:t xml:space="preserve">Brand Color Guideline</w:t>
      </w:r>
    </w:p>
    <w:p>
      <w:pPr>
        <w:spacing w:after="120"/>
        <w:jc w:val="center"/>
      </w:pPr>
      <w:r>
        <w:rPr>
          <w:rFonts w:ascii="Malgun Gothic" w:cs="Malgun Gothic" w:eastAsia="Malgun Gothic" w:hAnsi="Malgun Gothic"/>
          <w:b/>
          <w:bCs/>
          <w:sz w:val="36"/>
          <w:szCs w:val="36"/>
        </w:rPr>
        <w:t xml:space="preserve">브랜드 컬러 사용 지침</w:t>
      </w:r>
    </w:p>
    <w:p>
      <w:pPr>
        <w:spacing w:after="1600"/>
        <w:jc w:val="center"/>
      </w:pPr>
      <w:r>
        <w:rPr>
          <w:rFonts w:ascii="Malgun Gothic" w:cs="Malgun Gothic" w:eastAsia="Malgun Gothic" w:hAnsi="Malgun Gothic"/>
          <w:color w:val="888888"/>
          <w:sz w:val="22"/>
          <w:szCs w:val="22"/>
        </w:rPr>
        <w:t xml:space="preserve">Version 1.0 (Simplified Edition)</w:t>
      </w:r>
    </w:p>
    <w:p>
      <w:pPr>
        <w:spacing w:after="80"/>
        <w:jc w:val="center"/>
      </w:pPr>
      <w:r>
        <w:rPr>
          <w:rFonts w:ascii="Malgun Gothic" w:cs="Malgun Gothic" w:eastAsia="Malgun Gothic" w:hAnsi="Malgun Gothic"/>
          <w:sz w:val="22"/>
          <w:szCs w:val="22"/>
        </w:rPr>
        <w:t xml:space="preserve">제이에스케이바이오메드 · JSK BIOMED</w:t>
      </w:r>
    </w:p>
    <w:p>
      <w:pPr>
        <w:jc w:val="center"/>
      </w:pPr>
      <w:r>
        <w:rPr>
          <w:rFonts w:ascii="Malgun Gothic" w:cs="Malgun Gothic" w:eastAsia="Malgun Gothic" w:hAnsi="Malgun Gothic"/>
          <w:color w:val="888888"/>
          <w:sz w:val="20"/>
          <w:szCs w:val="20"/>
        </w:rPr>
        <w:t xml:space="preserve">Design Leadership Document · 2026.04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4A1F75"/>
          <w:sz w:val="36"/>
          <w:szCs w:val="36"/>
        </w:rPr>
        <w:t xml:space="preserve">0. 이 문서에 대하여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0.1. 문서의 위상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문서는 미라젯 제품 브로셔 리뉴얼 프로젝트(2026) 과정에서 파생된 간이 컬러 사용 지침이다. 정식 BI 가이드라인의 업데이트판이 아니라, 현재 사내 디자인 실무에서 관찰되는 컬러 사용의 문제점을 교정하기 위한 실행 지침(working guideline)이다.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향후 진행될 브랜드 시스템 재정립 프로젝트(트랙 B)에서 정식 BI 가이드라인 v2.0이 도출되면 그 문서가 본 지침을 대체한다. 그때까지 본 지침은 사내 모든 미라젯 관련 디자인 작업에 우선 적용된다.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0.2. 왜 지금 이 문서가 필요한가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사내 디자인 현장에서 다음 패턴이 반복 관찰된다.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브로셔, 부스, 인증패, 카탈로그 등에서 퍼플이 넓은 면적을 차지한다.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배경 전면, 벽체 전체, 전면 코팅 등 대면적 퍼플이 기본값처럼 쓰인다.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결과적으로 브랜드가 전달해야 할 하이테크 세련미와 정밀성의 인상이 소실된다.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퍼플이 "무겁고 어지럽다"는 내부 피드백이 누적된다.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원인 진단: 디자이너 개인의 역량 문제가 아니라, 컬러 사용 전략 자체가 문서화되어 있지 않은 구조적 문제다. 지침이 없으므로 각자의 해석이 달라질 수밖에 없다.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해결 방향: 즉시 적용 가능한 간이 지침으로 현재 진행 중인 작업의 방향성을 교정하고, 이후 완전판 가이드라인의 뼈대로 활용한다.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0.3. 활용 방법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디자인 실무자: 시안 진행 전 본 문서를 정독한 후 작업한다. 시안 완성 후 5장 자기 검증 체크리스트로 점검한다.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디자인 리뷰어: 시안 리뷰 시 본 지침과의 부합 여부를 판단 근거로 삼는다.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외부 디자인 협력사: 발주 시 본 문서를 함께 전달한다.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경영진·마케팅: 브랜드 커뮤니케이션 방향성 공유 자료로 활용한다.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4A1F75"/>
          <w:sz w:val="36"/>
          <w:szCs w:val="36"/>
        </w:rPr>
        <w:t xml:space="preserve">1. 철학 선언</w:t>
      </w:r>
    </w:p>
    <w:p>
      <w:pPr>
        <w:spacing w:after="80" w:before="400"/>
        <w:jc w:val="center"/>
      </w:pPr>
      <w:r>
        <w:rPr>
          <w:rFonts w:ascii="Malgun Gothic" w:cs="Malgun Gothic" w:eastAsia="Malgun Gothic" w:hAnsi="Malgun Gothic"/>
          <w:b/>
          <w:bCs/>
          <w:color w:val="4A1F75"/>
          <w:sz w:val="40"/>
          <w:szCs w:val="40"/>
        </w:rPr>
        <w:t xml:space="preserve">미라젯의 색은 퍼플이다.</w:t>
      </w:r>
    </w:p>
    <w:p>
      <w:pPr>
        <w:spacing w:after="400"/>
        <w:jc w:val="center"/>
      </w:pPr>
      <w:r>
        <w:rPr>
          <w:rFonts w:ascii="Malgun Gothic" w:cs="Malgun Gothic" w:eastAsia="Malgun Gothic" w:hAnsi="Malgun Gothic"/>
          <w:b/>
          <w:bCs/>
          <w:color w:val="1A1A1A"/>
          <w:sz w:val="36"/>
          <w:szCs w:val="36"/>
        </w:rPr>
        <w:t xml:space="preserve">그러나 미라젯의 대부분은 화이트다.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1.1. 원칙의 배경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이 원칙은 브랜드 컬러를 운영하는 국제적 관례에서 도출된다. 대표 레퍼런스: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Northwestern University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Northwestern은 퍼플을 브랜드 기반 색상으로 쓰는 대표 사례다. 그러나 공식 브랜드 가이드라인은 다음과 같이 명시한다:</w:t>
      </w:r>
    </w:p>
    <w:p>
      <w:pPr>
        <w:pBdr>
          <w:left w:val="single" w:color="6B2FA8" w:sz="16" w:space="8"/>
        </w:pBdr>
        <w:spacing w:after="120" w:before="120"/>
        <w:ind w:left="360"/>
      </w:pPr>
      <w:r>
        <w:rPr>
          <w:rFonts w:ascii="Malgun Gothic" w:cs="Malgun Gothic" w:eastAsia="Malgun Gothic" w:hAnsi="Malgun Gothic"/>
          <w:i/>
          <w:iCs/>
          <w:color w:val="4A1F75"/>
          <w:sz w:val="22"/>
          <w:szCs w:val="22"/>
        </w:rPr>
        <w:t xml:space="preserve">"새 팔레트는 Northwestern Purple을 기반으로 하지만, 대부분의 레이아웃에서 지배 색상은 화이트여야 한다. 충분한 여백을 통해 우리의 커뮤니케이션은 깔끔하고 현대적으로 느껴진다. 여백을 빈 공간으로 보지 말고, 하나의 휴지(pause)로 보라. 페이지를 채우려고 서두르지 말라."</w:t>
      </w:r>
    </w:p>
    <w:p>
      <w:pPr>
        <w:spacing w:after="8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출처: Northwestern University Brand Color Palettes Guidelines, northwestern.edu/brand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Starbucks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스타벅스의 그린은 브랜드 인식의 핵심이지만, 매장 전체를 뒤덮지 않는다. 공간을 지배하는 것은 화이트·우드톤·뉴트럴이다. 그린은 로고와 제한된 포인트에서만 존재한다. 그렇기 때문에 그린이 나타나는 순간 즉시 "스타벅스"라고 인식된다.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Thermage · Sculptra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미용의료 B2B 시장에서 퍼플 계열을 가장 세련되게 운영하는 두 브랜드. 공통점: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제품 사진, 의료 전문가 이미지가 지배적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화이트 또는 뉴트럴 배경이 기본값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퍼플은 로고, 포인트 액센트, 특정 정보 하이라이트에만 제한적으로 사용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대면적 퍼플은 캠페인 특정 애플리케이션(예: 제품 패키징)에서만 등장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1.2. 미라젯 적용 원칙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위 레퍼런스의 공통 원칙을 미라젯에 적용한다.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원칙 A — 지배 색상은 화이트다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모든 애플리케이션의 지배 색상(dominant color)은 화이트 또는 오프화이트여야 한다. 퍼플은 바탕이 아니라 액센트다.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원칙 B — 퍼플은 의미 있는 순간에만 출현한다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퍼플이 나타나는 곳은 독자에게 "이게 중요하다"는 신호가 필요한 정확한 순간이어야 한다. 장식 목적의 퍼플은 배제한다.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원칙 C — 여백은 색이다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화이트 여백은 비어있는 공간이 아니라 의도된 휴지(pause)다. 콘텐츠를 빈틈 없이 채우면 프리미엄감이 소멸한다.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원칙 D — 대비가 위계를 만든다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퍼플의 강력한 색상 특성은 충분한 대비 속에서만 효과를 발휘한다. 퍼플 위에 퍼플, 회색 위에 퍼플, 그라데이션 위에 퍼플 등 저대비 구성은 금지한다.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4A1F75"/>
          <w:sz w:val="36"/>
          <w:szCs w:val="36"/>
        </w:rPr>
        <w:t xml:space="preserve">2. 컬러 팔레트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2.1. 컬러별 역할과 비중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00"/>
        <w:gridCol w:w="2200"/>
        <w:gridCol w:w="1200"/>
        <w:gridCol w:w="1400"/>
        <w:gridCol w:w="1400"/>
        <w:gridCol w:w="1426"/>
      </w:tblGrid>
      <w:tr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구분</w:t>
            </w:r>
          </w:p>
        </w:tc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컬러명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스와치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HEX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비중 목표</w:t>
            </w:r>
          </w:p>
        </w:tc>
        <w:tc>
          <w:tcPr>
            <w:tcW w:type="dxa" w:w="14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용도</w:t>
            </w:r>
          </w:p>
        </w:tc>
      </w:tr>
      <w:tr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Canvas</w:t>
            </w:r>
          </w:p>
        </w:tc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Pure White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200"/>
              <w:left w:type="dxa" w:w="140"/>
              <w:bottom w:type="dxa" w:w="2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/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#FFFFFF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color w:val="4A1F75"/>
                <w:sz w:val="20"/>
                <w:szCs w:val="20"/>
              </w:rPr>
              <w:t xml:space="preserve">70% 이상</w:t>
            </w:r>
          </w:p>
        </w:tc>
        <w:tc>
          <w:tcPr>
            <w:tcW w:type="dxa" w:w="14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지배 색상, 모든 바탕</w:t>
            </w:r>
          </w:p>
        </w:tc>
      </w:tr>
      <w:tr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Ink (주)</w:t>
            </w:r>
          </w:p>
        </w:tc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Rich Black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A1A1A" w:val="clear"/>
            <w:tcMar>
              <w:top w:type="dxa" w:w="200"/>
              <w:left w:type="dxa" w:w="140"/>
              <w:bottom w:type="dxa" w:w="2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/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#1A1A1A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10%</w:t>
            </w:r>
          </w:p>
        </w:tc>
        <w:tc>
          <w:tcPr>
            <w:tcW w:type="dxa" w:w="14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본문 · 주요 타이포</w:t>
            </w:r>
          </w:p>
        </w:tc>
      </w:tr>
      <w:tr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Ink (보조)</w:t>
            </w:r>
          </w:p>
        </w:tc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Dark Gray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333333" w:val="clear"/>
            <w:tcMar>
              <w:top w:type="dxa" w:w="200"/>
              <w:left w:type="dxa" w:w="140"/>
              <w:bottom w:type="dxa" w:w="2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/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#333333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5%</w:t>
            </w:r>
          </w:p>
        </w:tc>
        <w:tc>
          <w:tcPr>
            <w:tcW w:type="dxa" w:w="14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서브 타이포 · 캡션</w:t>
            </w:r>
          </w:p>
        </w:tc>
      </w:tr>
      <w:tr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Signature 1</w:t>
            </w:r>
          </w:p>
        </w:tc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mirajet Purple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6B2FA8" w:val="clear"/>
            <w:tcMar>
              <w:top w:type="dxa" w:w="200"/>
              <w:left w:type="dxa" w:w="140"/>
              <w:bottom w:type="dxa" w:w="2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/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#6B2FA8 (Pantone 269C)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color w:val="4A1F75"/>
                <w:sz w:val="20"/>
                <w:szCs w:val="20"/>
              </w:rPr>
              <w:t xml:space="preserve">5% 이내</w:t>
            </w:r>
          </w:p>
        </w:tc>
        <w:tc>
          <w:tcPr>
            <w:tcW w:type="dxa" w:w="14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브랜드 식별 · 핵심 액센트</w:t>
            </w:r>
          </w:p>
        </w:tc>
      </w:tr>
      <w:tr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Signature 2</w:t>
            </w:r>
          </w:p>
        </w:tc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mirajet Deep Purple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4A1F75" w:val="clear"/>
            <w:tcMar>
              <w:top w:type="dxa" w:w="200"/>
              <w:left w:type="dxa" w:w="140"/>
              <w:bottom w:type="dxa" w:w="2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/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#4A1F75 (Pantone 268C)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2% 이내</w:t>
            </w:r>
          </w:p>
        </w:tc>
        <w:tc>
          <w:tcPr>
            <w:tcW w:type="dxa" w:w="14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서브 타이틀 · 강조 키워드</w:t>
            </w:r>
          </w:p>
        </w:tc>
      </w:tr>
      <w:tr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Accent</w:t>
            </w:r>
          </w:p>
        </w:tc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mirajet Gold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C9A86A" w:val="clear"/>
            <w:tcMar>
              <w:top w:type="dxa" w:w="200"/>
              <w:left w:type="dxa" w:w="140"/>
              <w:bottom w:type="dxa" w:w="2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/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#C9A86A (예비)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3% 이내</w:t>
            </w:r>
          </w:p>
        </w:tc>
        <w:tc>
          <w:tcPr>
            <w:tcW w:type="dxa" w:w="14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특별 요소 · 프리미엄 포인트</w:t>
            </w:r>
          </w:p>
        </w:tc>
      </w:tr>
      <w:tr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Tint</w:t>
            </w:r>
          </w:p>
        </w:tc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Light Purple Tint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140"/>
              <w:bottom w:type="dxa" w:w="2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/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#F5EEFA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5% 이내</w:t>
            </w:r>
          </w:p>
        </w:tc>
        <w:tc>
          <w:tcPr>
            <w:tcW w:type="dxa" w:w="14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정보 그룹핑 배경</w:t>
            </w:r>
          </w:p>
        </w:tc>
      </w:tr>
      <w:tr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Neutral</w:t>
            </w:r>
          </w:p>
        </w:tc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Light Gray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200"/>
              <w:left w:type="dxa" w:w="140"/>
              <w:bottom w:type="dxa" w:w="2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/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#F2F2F2, #E8E8E8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3~5%</w:t>
            </w:r>
          </w:p>
        </w:tc>
        <w:tc>
          <w:tcPr>
            <w:tcW w:type="dxa" w:w="14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구분선 · 카드 · 비강조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8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※ Signature 퍼플 계열(Pantone 269C/268C)과 Tint는 상호 보완 관계로 운영된다. 합산 비중은 약 10~12%를 초과하지 않도록 관리한다.</w:t>
      </w:r>
    </w:p>
    <w:p>
      <w:pPr>
        <w:spacing w:after="8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※ mirajet Gold의 정확한 Pantone/CMYK 값은 트랙 B에서 확정한다. 현재 v1.0에서는 예비 HEX 값(#C9A86A)을 사용한다.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2.2. 권장 비율 요약</w:t>
      </w:r>
    </w:p>
    <w:tbl>
      <w:tblPr>
        <w:tblW w:type="dxa" w:w="60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3000"/>
      </w:tblGrid>
      <w:tr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항목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비중</w:t>
            </w:r>
          </w:p>
        </w:tc>
      </w:tr>
      <w:tr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White (Canvas)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4A1F75"/>
                <w:sz w:val="20"/>
                <w:szCs w:val="20"/>
              </w:rPr>
              <w:t xml:space="preserve">70% 이상</w:t>
            </w:r>
          </w:p>
        </w:tc>
      </w:tr>
      <w:tr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Ink (Black + Gray)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15%</w:t>
            </w:r>
          </w:p>
        </w:tc>
      </w:tr>
      <w:tr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Purple (Signature + Tint)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4A1F75"/>
                <w:sz w:val="20"/>
                <w:szCs w:val="20"/>
              </w:rPr>
              <w:t xml:space="preserve">10% 이내</w:t>
            </w:r>
          </w:p>
        </w:tc>
      </w:tr>
      <w:tr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Gold (Accent)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3% 이내</w:t>
            </w:r>
          </w:p>
        </w:tc>
      </w:tr>
      <w:tr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Neutral (보조)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나머지</w:t>
            </w:r>
          </w:p>
        </w:tc>
      </w:tr>
    </w:tbl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4A1F75"/>
          <w:sz w:val="36"/>
          <w:szCs w:val="36"/>
        </w:rPr>
        <w:t xml:space="preserve">3. 5가지 핵심 규칙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3.1. 규칙 1 — 퍼플은 의미 있는 순간에만 출현한다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퍼플을 쓰는 곳은 독자에게 "이게 중요하다"는 신호를 보내야 할 정확한 순간이어야 한다.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허용되는 퍼플 사용처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브랜드 워드마크 "mirajet"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메인 헤드카피의 핵심 키워드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USP 키워드 (PRECISION, SAFETY, EFFICACY 등)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데이터 차트의 After 막대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섹션 구분선 (얇게)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중요 인용 박스의 좌측 보더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CTA 버튼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아이콘의 포인트 (아이콘 전체가 아니라 일부)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이 목록 외에는 퍼플을 쓰지 않는다.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장식 목적, 레이아웃 채움 목적, 또는 "브랜드 컬러니까 한 번 더" 목적의 퍼플 사용은 배제한다.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3.2. 규칙 2 — 퍼플 위에 퍼플 금지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중첩은 위계를 파괴한다.</w:t>
      </w:r>
    </w:p>
    <w:p>
      <w:pPr>
        <w:spacing w:after="12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퍼플 배경 위에 퍼플 텍스트 금지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퍼플 박스 안에 퍼플 아이콘 금지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연한 퍼플 틴트 위에 진한 퍼플 타이포 금지 (예외: 정보 그룹핑 박스의 제목)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퍼플 배경 위에 라이트 퍼플 그라데이션 오버레이 금지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퍼플은 항상 화이트 또는 블랙 위의 액센트로만 존재한다.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3.3. 규칙 3 — 퍼플 면적은 페이지 총 면적의 25%를 넘지 않는다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예외 허용 조건: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해당 블록이 명확한 의미 기능을 수행할 것 (예: 수상 배지, 차트 After 막대)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블록 자체가 별도 정보 단위로 독립되어 있을 것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주변 화이트 여백이 충분할 것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절대 금지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표지 전면 퍼플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뒷면 전면 퍼플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전시 부스 월 전체 퍼플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인증패 전면 퍼플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카탈로그·발표 자료 배경 전면 퍼플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3.4. 규칙 4 — 대비는 충분히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퍼플 위에 텍스트를 얹을 수밖에 없는 경우의 규정.</w:t>
      </w:r>
    </w:p>
    <w:p>
      <w:pPr>
        <w:spacing w:after="12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텍스트 색상: 반드시 화이트(#FFFFFF)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회색 텍스트 · 라이트 퍼플 텍스트 · 골드 텍스트 금지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텍스트 최소 크기: 본문 9pt 이상, 캡션 7pt 이상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퍼플 배경 위 본문 문장은 2줄 이내로 제한 (가독 피로 최소화)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라이트 퍼플 틴트(#F5EEFA) 위에 쓸 수 있는 텍스트 색상: 블랙 또는 Deep Purple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3.5. 규칙 5 — 여백은 색이다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화이트 여백은 비어있는 공간이 아니다. 하나의 의도된 휴지(pause)다.</w:t>
      </w:r>
    </w:p>
    <w:p>
      <w:pPr>
        <w:spacing w:after="12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페이지당 최소 40% 여백 확보 권장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"빈 공간이 낭비된다"는 판단은 금지. 여백은 콘텐츠다.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여백은 텍스트 주변, 이미지 주변, 섹션 사이 모두에서 확보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화이트 여백에 얇은 장식선·도트·패턴을 채우려는 시도 금지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4A1F75"/>
          <w:sz w:val="36"/>
          <w:szCs w:val="36"/>
        </w:rPr>
        <w:t xml:space="preserve">4. Negative Rules — 절대 하지 말 것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다음은 현재 사내 실무에서 관찰되거나 발생 가능성이 높은 오류 사례다. 모두 금지한다.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4.1. 대면적 퍼플 사용 금지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표지 배경 전체를 퍼플로 채우기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뒷표지 배경 전체를 퍼플로 채우기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본문 페이지 배경에 연한 퍼플 틴트를 전체 적용하기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학회 부스 벽 전체를 퍼플 벽지로 덮기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인증패 전체 배경을 퍼플 아크릴로 만들기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제품 사진 배경을 퍼플로 합성해서 깔기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PPT 슬라이드 마스터 배경을 퍼플로 설정하기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4.2. 대비·가독성 훼손 금지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퍼플 위에 퍼플 텍스트 얹기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퍼플 위에 회색 텍스트 얹기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퍼플 그라데이션 위에 텍스트 얹기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라이트 퍼플 틴트 위에 라이트 퍼플 텍스트 얹기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퍼플 배경 위에 골드 텍스트 얹기 (극히 예외적 특별 요소에서만 제한적 허용)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4.3. 색상 조작 금지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의료기기 이미지를 실제보다 더 퍼플하게 컬러 보정하기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병원 레퍼런스 로고를 퍼플 톤으로 일괄 변환하기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저자 정보·기관 로고를 퍼플로 표시해 권위를 퍼플에 연결시키려는 시도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환자 피부 이미지(Before/After)를 퍼플 톤으로 보정하기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4.4. 통일성 강요 금지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모든 아이콘을 퍼플로 통일하기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모든 구분선을 퍼플로 통일하기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모든 불릿 포인트를 퍼플로 통일하기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모든 섹션 타이틀을 퍼플로 통일하기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여러 톤의 퍼플을 한 페이지에 3종 이상 혼용하기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4.5. 브랜드 식별 오염 금지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mirajet 워드마크를 퍼플 배경 위에 얹기 (반드시 화이트 또는 뉴트럴 배경)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JSK BIOMED 로고를 퍼플로 변경하기 (지정 컬러만 사용)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color w:val="C02626"/>
          <w:sz w:val="22"/>
          <w:szCs w:val="22"/>
        </w:rPr>
        <w:t xml:space="preserve">금지 — 특정 시즌 캠페인을 위해 임의로 메인 퍼플 색상을 변형하기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4A1F75"/>
          <w:sz w:val="36"/>
          <w:szCs w:val="36"/>
        </w:rPr>
        <w:t xml:space="preserve">5. 자기 검증 체크리스트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디자이너는 시안 완성 후 다음 질문들로 자가 점검한다. 5개 질문 중 하나라도 "아니오"가 나오면 수정한다.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Q1. 화이트가 70% 이상인가?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시안을 한눈에 봤을 때 화이트가 지배적으로 보이는가? 시각적으로 70%를 가늠하기 어렵다면, 시안을 흑백으로 변환해서 흰색 영역이 압도적인지 확인한다.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Q2. 퍼플은 "중요한 순간"에만 나타나는가?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각 퍼플이 등장하는 위치에 대해 "왜 여기에 퍼플인가?"를 답할 수 있어야 한다. "그냥 브랜드 컬러니까" "심심해서" "채우려고"는 답이 될 수 없다.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Q3. 퍼플 위에 퍼플/회색/라이트 퍼플 텍스트가 있는가?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있으면 반드시 수정. 퍼플 배경 위 텍스트는 화이트여야 한다.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Q4. 여백이 충분히 확보되어 있는가?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페이지가 숨 막히게 꽉 차 있지 않은가? 요소들 사이에 충분한 휴지 공간이 있는가?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Q5. 흑백으로 인쇄해도 정보 위계가 살아있는가?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흑백으로 변환해도 시안의 메시지와 구조가 명확히 전달되어야 한다. 그렇지 않다면 컬러에 과의존한 디자인이며, 이는 흑백 복사·팩스 전송·노안 독자 등 다양한 상황에서 문제를 일으킨다.</w:t>
      </w:r>
    </w:p>
    <w:p>
      <w:pPr>
        <w:spacing w:after="120"/>
      </w:pPr>
      <w:r>
        <w:t xml:space="preserve"/>
      </w:r>
    </w:p>
    <w:p>
      <w:pPr>
        <w:pBdr>
          <w:bottom w:val="single" w:color="6B2FA8" w:sz="6" w:space="1"/>
        </w:pBdr>
        <w:spacing w:after="200"/>
      </w:pPr>
      <w:r>
        <w:t xml:space="preserve"/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5.1. 체크리스트 요약표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5400"/>
        <w:gridCol w:w="2826"/>
      </w:tblGrid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No.</w:t>
            </w:r>
          </w:p>
        </w:tc>
        <w:tc>
          <w:tcPr>
            <w:tcW w:type="dxa" w:w="5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체크 항목</w:t>
            </w:r>
          </w:p>
        </w:tc>
        <w:tc>
          <w:tcPr>
            <w:tcW w:type="dxa" w:w="28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YES / NO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1</w:t>
            </w:r>
          </w:p>
        </w:tc>
        <w:tc>
          <w:tcPr>
            <w:tcW w:type="dxa" w:w="5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화이트가 70% 이상인가?</w:t>
            </w:r>
          </w:p>
        </w:tc>
        <w:tc>
          <w:tcPr>
            <w:tcW w:type="dxa" w:w="28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☐ YES  ☐ NO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2</w:t>
            </w:r>
          </w:p>
        </w:tc>
        <w:tc>
          <w:tcPr>
            <w:tcW w:type="dxa" w:w="5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모든 퍼플 사용처에 합당한 이유가 있는가?</w:t>
            </w:r>
          </w:p>
        </w:tc>
        <w:tc>
          <w:tcPr>
            <w:tcW w:type="dxa" w:w="28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☐ YES  ☐ NO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3</w:t>
            </w:r>
          </w:p>
        </w:tc>
        <w:tc>
          <w:tcPr>
            <w:tcW w:type="dxa" w:w="5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퍼플 위 텍스트는 화이트인가?</w:t>
            </w:r>
          </w:p>
        </w:tc>
        <w:tc>
          <w:tcPr>
            <w:tcW w:type="dxa" w:w="28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☐ YES  ☐ NO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4</w:t>
            </w:r>
          </w:p>
        </w:tc>
        <w:tc>
          <w:tcPr>
            <w:tcW w:type="dxa" w:w="5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페이지당 여백 40% 이상 확보되어 있는가?</w:t>
            </w:r>
          </w:p>
        </w:tc>
        <w:tc>
          <w:tcPr>
            <w:tcW w:type="dxa" w:w="28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☐ YES  ☐ NO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5</w:t>
            </w:r>
          </w:p>
        </w:tc>
        <w:tc>
          <w:tcPr>
            <w:tcW w:type="dxa" w:w="5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흑백 변환 시 정보 위계가 유지되는가?</w:t>
            </w:r>
          </w:p>
        </w:tc>
        <w:tc>
          <w:tcPr>
            <w:tcW w:type="dxa" w:w="28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☐ YES  ☐ NO</w:t>
            </w:r>
          </w:p>
        </w:tc>
      </w:tr>
    </w:tbl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4A1F75"/>
          <w:sz w:val="36"/>
          <w:szCs w:val="36"/>
        </w:rPr>
        <w:t xml:space="preserve">6. 애플리케이션별 적용 가이드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6.1. 제품 브로셔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배경: 오프화이트 또는 순백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표지: 화이트 기반 + 정밀한 퍼플 포인트. 전면 퍼플 금지.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뒷면: 화이트 기반 + JSK BIOMED 모기업 표기. 일부 영역에만 약한 퍼플 틴트 허용.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본문: 블랙 타이포 위주. 퍼플은 헤드·USP·차트 강조·섹션 구분선에만.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이미지: 제품 실사와 병원 레퍼런스는 원본 컬러 유지. 퍼플 톤 보정 금지.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6.2. 전시 부스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벽체 메인 컬러: 화이트 또는 웜 뉴트럴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메인 월: 대형 제품 이미지 또는 브랜드 키 비주얼. 얇은 퍼플 라인 프레임 가능.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배너·사이니지: 화이트 베이스 + 퍼플 액센트 라인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카운터·데스크: 화이트 또는 웜 우드톤. 퍼플 전면 금지.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부스 총 면적 기준 퍼플 면적: 10% 이내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조명: 화이트 또는 뉴트럴. 퍼플 조명 전체 점등 금지 (특정 제품 스포트라이팅에만 제한적 허용)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6.3. 인증패 · 트로피 · 어워드 패널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바탕: 화이트 또는 크림 아이보리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프레임: 실버 또는 매트 블랙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퍼플: 브랜드 로고와 인증 심볼 영역에만 제한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대면적 퍼플 아크릴·크리스탈 패 금지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중요 고지·법적 정보는 블랙으로 처리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6.4. 웹사이트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메인 배경: 화이트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내비게이션 바: 블랙 또는 다크 그레이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푸터: 블랙 또는 다크 그레이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퍼플: CTA 버튼, 링크 하이라이트, 섹션 헤드 포인트에만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다크 모드 적용 시: 다크 그레이(#1A1A1A) 배경 + 퍼플 액센트 유지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6.5. PPT 템플릿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슬라이드 배경: 화이트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헤더·타이틀 영역: 퍼플 얇은 라인 또는 포인트 블록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본문: 블랙 또는 다크 그레이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강조 박스: 연한 퍼플 틴트 (면적 제한)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표지 슬라이드만 선택적으로 퍼플 사이드바 적용 가능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6.6. SNS 카드뉴스 · 광고 이미지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캔버스 배경: 화이트 또는 오프화이트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포스트 헤드카피: 블랙 또는 Deep Purple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CTA 버튼: mirajet Purple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해시태그 · 캡션 텍스트: 플랫폼 기본 스타일 따름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광고 심의 대상 이미지는 반드시 광고심의필 번호 포함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6.7. 명함 · 서신지 · 봉투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바탕: 화이트 또는 크림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로고: 지정 컬러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퍼플: 얇은 라인, 포인트 도트, 또는 브랜드 워드마크에만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뒷면에 대면적 퍼플을 쓰는 디자인 금지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4A1F75"/>
          <w:sz w:val="36"/>
          <w:szCs w:val="36"/>
        </w:rPr>
        <w:t xml:space="preserve">7. 본 브로셔 리뉴얼 프로젝트 적용 사례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지침 v1.0이 미라젯 제품 브로셔 리뉴얼 프로젝트에 적용된 구체 사례를 정리한다. 사내 디자이너들이 지침의 실제 구현 방식을 이해하는 참고 자료다.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7.1. p.1 표지 — 이전 버전 대비 개선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이전 버전 (와이어프레임 v1.0)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블랙 배경 전체 + 대각선 퍼플 빔 + 우측 퍼플 사이드바 패턴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퍼플 비중 약 30~40%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컨셉: 강렬한 브랜드 임팩트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문제점: 무겁고 어지러움. 사용자 피드백에 부합하는 전형적 "퍼플 도배" 사례.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현재 버전 (와이어프레임 v2.0)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풀 화이트 배경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제품을 조각품처럼 표현 + 노즐에서 수직 투사되는 얇고 정밀한 퍼플 에너지 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타격 지점 퍼플 반사광 + Gold 미세 입자 cascade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핵심 키워드 "Precision Delivery" 에 스팟 UV/에폭시 가공 시뮬레이션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퍼플 비중 약 5% (에너지 빔, 반사광, 워드마크, 키워드, 디바이더에만 제한)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Gold 비중 약 2% (cascade 입자)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컨셉: 보이지 않는 힘의 시각화 · 숨 막히는 여백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7.2. p.12 뒷면 — 이전 버전 대비 개선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이전 버전 (와이어프레임 v1.0)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Deep Purple 배경 전면 + 방사형 그라데이션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모든 텍스트 화이트 또는 라이트 퍼플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퍼플 비중 100%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문제점: 본 지침의 모든 핵심 규칙 위반. 대면적 퍼플의 전형.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현재 버전 (와이어프레임 v2.0)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풀 화이트 배경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JSK BIOMED 로고 Deep Purple + Gold 도트 액센트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오피스 정보 영역에만 연한 퍼플 틴트(#F5EEFA) 적용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연락 채널 · QR은 블랙/뉴트럴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법정 고지: 연한 그레이 배경 + 페이지 하단 고정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퍼플 비중 약 8% (로고, 틴트 박스, QR 배경)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7.3. 검증 결과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개정된 표지와 뒷면을 5장 체크리스트로 점검한 결과: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Q1 화이트 70% 이상 → YES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Q2 모든 퍼플에 합당한 이유 → YES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Q3 퍼플 위 텍스트는 화이트 → YES (해당 없음 또는 화이트)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Q4 여백 40% 이상 → YES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Q5 흑백 변환 시 위계 유지 → YES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4A1F75"/>
          <w:sz w:val="36"/>
          <w:szCs w:val="36"/>
        </w:rPr>
        <w:t xml:space="preserve">8. 향후 과제 — 트랙 B(브랜드 시스템 재정립)로 이관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지침 v1.0(간이판)은 현 브로셔 리뉴얼의 즉시 실행 지침이다. 다음 항목들은 완전판 BI 가이드라인 v2.0(트랙 B)에서 다룬다.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8.1. 컬러 관련 확장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mirajet Gold의 정확한 Pantone/CMYK 값 확정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Pantone 269C/268C 퍼플 톤 최적화 재검토 (시장 포지셔닝·시대성·인쇄 재현성 종합 판단)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보조 컬러 팔레트 확정 (데이터 시각화·인포그래픽용)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다크 모드 전용 퍼플 톤 정의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인쇄 매체별 Pantone 공정 차이 대응 가이드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8.2. 매체 · 재질 확장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사진 촬영 컬러 디렉션 (제품 실사 조명·배경 톤)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영상 편집 색보정 LUT 정의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전시 부스 3D 렌더링 컬러 가이드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인증패 머티리얼 가이드 (실버·골드·매트·글로스 사용 규정)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패키징 인쇄 및 후가공 가이드 (스팟 UV, 엠보싱, 박압 등)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8.3. 타이포그래피와 컬러의 결합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폰트 웨이트별 퍼플 사용 가능 범위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한글 서체 × 컬러 규정 (Pretendard 등 한글 최적화)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영문 서체 × 컬러 규정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최소·최대 글자 크기와 색상 조합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8.4. 국제화 대응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해외 시장별 컬러 인식 차이 점검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서양권: 퍼플 = 왕실 · 프리미엄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동양권 일부: 퍼플 = 애도 · 영성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진출 국가별 표기 규정 확인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8.5. 거버넌스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사내 디자인 리뷰 프로세스 정립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외부 협력사 발주 시 가이드라인 전달 절차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위반 시 수정 요청 기준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가이드라인 버전 관리 체계 (v2.0, v2.1 ...)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4A1F75"/>
          <w:sz w:val="36"/>
          <w:szCs w:val="36"/>
        </w:rPr>
        <w:t xml:space="preserve">9. 참고 문헌 및 레퍼런스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9.1. 1차 레퍼런스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Northwestern University, Brand Color Palettes Guidelines, northwestern.edu/brand/visual-identity/color-palettes/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Thermage 공식 웹사이트 및 브랜드 자산, thermage.com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Sculptra 공식 브랜드 자산 (Brandfetch 수록), brandfetch.com/sculptrausa.com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9.2. 2차 참고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Starbucks Brand Standards (공개 마케팅 자료 기준 관찰)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Fabrik, Purple Packaging Design, fabrikbrands.com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AND Academy, Purple Color Theory for Branding, andacademy.com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9.3. 내부 자료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Mirajet Brand Identity Guideline (2021)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JSK BIOMED CI Guideline BS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2022년 제작 미라젯 제품 브로셔 (영문판)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미라젯 제품 브로셔 리뉴얼 프로젝트 문서 (2026.04)</w:t>
      </w:r>
    </w:p>
    <w:p>
      <w:pPr>
        <w:spacing w:after="120"/>
      </w:pPr>
      <w:r>
        <w:t xml:space="preserve"/>
      </w:r>
    </w:p>
    <w:p>
      <w:pPr>
        <w:pBdr>
          <w:bottom w:val="single" w:color="6B2FA8" w:sz="6" w:space="1"/>
        </w:pBdr>
        <w:spacing w:after="200"/>
      </w:pPr>
      <w:r>
        <w:t xml:space="preserve"/>
      </w:r>
    </w:p>
    <w:p>
      <w:pPr>
        <w:spacing w:after="120"/>
      </w:pPr>
      <w:r>
        <w:t xml:space="preserve"/>
      </w:r>
    </w:p>
    <w:p>
      <w:pPr>
        <w:spacing w:after="200" w:before="400"/>
        <w:jc w:val="center"/>
      </w:pPr>
      <w:r>
        <w:rPr>
          <w:rFonts w:ascii="Malgun Gothic" w:cs="Malgun Gothic" w:eastAsia="Malgun Gothic" w:hAnsi="Malgun Gothic"/>
          <w:i/>
          <w:iCs/>
          <w:color w:val="888888"/>
          <w:sz w:val="20"/>
          <w:szCs w:val="20"/>
        </w:rPr>
        <w:t xml:space="preserve">— 문서 끝 —</w:t>
      </w:r>
    </w:p>
    <w:p>
      <w:pPr>
        <w:spacing w:after="40"/>
        <w:jc w:val="center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본 문서는 미라젯 브로셔 리뉴얼 프로젝트 부산물로 작성되었으며,</w:t>
      </w:r>
    </w:p>
    <w:p>
      <w:pPr>
        <w:jc w:val="center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향후 트랙 B(브랜드 시스템 재정립)에서 완전판으로 갱신될 예정입니다.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Malgun Gothic" w:cs="Malgun Gothic" w:eastAsia="Malgun Gothic" w:hAnsi="Malgun Gothic"/>
        <w:sz w:val="16"/>
        <w:szCs w:val="16"/>
      </w:rPr>
      <w:fldChar w:fldCharType="begin"/>
      <w:instrText xml:space="preserve">PAGE</w:instrText>
      <w:fldChar w:fldCharType="separate"/>
      <w:fldChar w:fldCharType="end"/>
    </w:r>
    <w:r>
      <w:rPr>
        <w:rFonts w:ascii="Malgun Gothic" w:cs="Malgun Gothic" w:eastAsia="Malgun Gothic" w:hAnsi="Malgun Gothic"/>
        <w:sz w:val="16"/>
        <w:szCs w:val="16"/>
      </w:rPr>
      <w:t xml:space="preserve"> / </w:t>
    </w:r>
    <w:r>
      <w:rPr>
        <w:rFonts w:ascii="Malgun Gothic" w:cs="Malgun Gothic" w:eastAsia="Malgun Gothic" w:hAnsi="Malgun Gothic"/>
        <w:sz w:val="16"/>
        <w:szCs w:val="16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rFonts w:ascii="Malgun Gothic" w:cs="Malgun Gothic" w:eastAsia="Malgun Gothic" w:hAnsi="Malgun Gothic"/>
        <w:color w:val="888888"/>
        <w:sz w:val="16"/>
        <w:szCs w:val="16"/>
      </w:rPr>
      <w:t xml:space="preserve">mirajet Brand Color Guideline v1.0 · Simplified Edition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44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algun Gothic" w:cs="Malgun Gothic" w:eastAsia="Malgun Gothic" w:hAnsi="Malgun Gothic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400"/>
      <w:outlineLvl w:val="0"/>
    </w:pPr>
    <w:rPr>
      <w:rFonts w:ascii="Malgun Gothic" w:cs="Malgun Gothic" w:eastAsia="Malgun Gothic" w:hAnsi="Malgun Gothic"/>
      <w:b/>
      <w:bCs/>
      <w:color w:val="4A1F75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60" w:before="300"/>
      <w:outlineLvl w:val="1"/>
    </w:pPr>
    <w:rPr>
      <w:rFonts w:ascii="Malgun Gothic" w:cs="Malgun Gothic" w:eastAsia="Malgun Gothic" w:hAnsi="Malgun Gothic"/>
      <w:b/>
      <w:bCs/>
      <w:color w:val="6B2FA8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120" w:before="240"/>
      <w:outlineLvl w:val="2"/>
    </w:pPr>
    <w:rPr>
      <w:rFonts w:ascii="Malgun Gothic" w:cs="Malgun Gothic" w:eastAsia="Malgun Gothic" w:hAnsi="Malgun Gothic"/>
      <w:b/>
      <w:bCs/>
      <w:color w:val="333333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mirajet 브랜드 컬러 사용 지침 v1.0</dc:title>
  <dc:creator>JSK BIOMED Design Lead</dc:creator>
  <dc:description>Brand Color Guideline — Simplified Edition</dc:description>
  <cp:lastModifiedBy>Un-named</cp:lastModifiedBy>
  <cp:revision>1</cp:revision>
  <dcterms:created xsi:type="dcterms:W3CDTF">2026-04-20T13:51:41.417Z</dcterms:created>
  <dcterms:modified xsi:type="dcterms:W3CDTF">2026-04-20T13:51:41.417Z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