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600"/>
      </w:pPr>
      <w:r>
        <w:t xml:space="preserve"/>
      </w:r>
    </w:p>
    <w:p>
      <w:pPr>
        <w:spacing w:after="120"/>
        <w:jc w:val="center"/>
      </w:pPr>
      <w:r>
        <w:rPr>
          <w:rFonts w:ascii="Malgun Gothic" w:cs="Malgun Gothic" w:eastAsia="Malgun Gothic" w:hAnsi="Malgun Gothic"/>
          <w:b/>
          <w:bCs/>
          <w:color w:val="562873"/>
          <w:sz w:val="80"/>
          <w:szCs w:val="80"/>
        </w:rPr>
        <w:t xml:space="preserve">mirajet</w:t>
      </w:r>
    </w:p>
    <w:p>
      <w:pPr>
        <w:spacing w:after="400"/>
        <w:jc w:val="center"/>
      </w:pPr>
      <w:r>
        <w:rPr>
          <w:rFonts w:ascii="Malgun Gothic" w:cs="Malgun Gothic" w:eastAsia="Malgun Gothic" w:hAnsi="Malgun Gothic"/>
          <w:i/>
          <w:iCs/>
          <w:color w:val="333333"/>
          <w:sz w:val="32"/>
          <w:szCs w:val="32"/>
        </w:rPr>
        <w:t xml:space="preserve">Brand Color Exploration</w:t>
      </w:r>
    </w:p>
    <w:p>
      <w:pPr>
        <w:spacing w:after="120"/>
        <w:jc w:val="center"/>
      </w:pPr>
      <w:r>
        <w:rPr>
          <w:rFonts w:ascii="Malgun Gothic" w:cs="Malgun Gothic" w:eastAsia="Malgun Gothic" w:hAnsi="Malgun Gothic"/>
          <w:b/>
          <w:bCs/>
          <w:sz w:val="36"/>
          <w:szCs w:val="36"/>
        </w:rPr>
        <w:t xml:space="preserve">브랜드 컬러 대안 탐색</w:t>
      </w:r>
    </w:p>
    <w:p>
      <w:pPr>
        <w:spacing w:after="1600"/>
        <w:jc w:val="center"/>
      </w:pPr>
      <w:r>
        <w:rPr>
          <w:rFonts w:ascii="Malgun Gothic" w:cs="Malgun Gothic" w:eastAsia="Malgun Gothic" w:hAnsi="Malgun Gothic"/>
          <w:color w:val="888888"/>
          <w:sz w:val="22"/>
          <w:szCs w:val="22"/>
        </w:rPr>
        <w:t xml:space="preserve">Version 1.0 · Hybrid Approach Study</w:t>
      </w:r>
    </w:p>
    <w:p>
      <w:pPr>
        <w:spacing w:after="80"/>
        <w:jc w:val="center"/>
      </w:pPr>
      <w:r>
        <w:rPr>
          <w:rFonts w:ascii="Malgun Gothic" w:cs="Malgun Gothic" w:eastAsia="Malgun Gothic" w:hAnsi="Malgun Gothic"/>
          <w:sz w:val="22"/>
          <w:szCs w:val="22"/>
        </w:rPr>
        <w:t xml:space="preserve">제이에스케이바이오메드 · JSK BIOMED</w:t>
      </w:r>
    </w:p>
    <w:p>
      <w:pPr>
        <w:jc w:val="center"/>
      </w:pPr>
      <w:r>
        <w:rPr>
          <w:rFonts w:ascii="Malgun Gothic" w:cs="Malgun Gothic" w:eastAsia="Malgun Gothic" w:hAnsi="Malgun Gothic"/>
          <w:color w:val="888888"/>
          <w:sz w:val="20"/>
          <w:szCs w:val="20"/>
        </w:rPr>
        <w:t xml:space="preserve">Design Leadership · 2026.04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562873"/>
          <w:sz w:val="36"/>
          <w:szCs w:val="36"/>
        </w:rPr>
        <w:t xml:space="preserve">0. 이 문서에 대하여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0.1. 배경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미라젯 브랜드 컬러 리뉴얼 프로젝트의 일환으로, 현재 메인 컬러인 Pantone 269C(#562873)의 시각적 인상에 대한 내부 재검토가 진행되었다. 디자인총괄의 판단으로 현재 컬러가 "촌스럽다"고 느껴지는 문제 의식이 공유되었으며, 이는 컬러 사용법(면적·비율)의 문제를 넘어 색상 자체의 물리적 속성에 기인한 가능성이 크다는 진단이 도출되었다.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이에 따라 경로 B(미세 조정)와 경로 C(전면 개편)의 하이브리드 전략이 채택되었고, 본 문서는 그 실행 Step 1로서 대안 컬러 후보군을 탐색한 결과를 정리한다.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0.2. 문서의 위상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본 문서는 최종 컬러 결정 문서가 아니다. 하이브리드 경로 실행을 위한 의사결정 참고 자료다. 실제 컬러 결정은 다음 단계가 필요하다.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후보 컬러의 와이어프레임 시뮬레이션 검토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사내 디자인팀·경영진 의견 수렴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실제 인쇄 교정지 실측 테스트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컬러 전문가(브랜드 컨설턴트 또는 Pantone Certified Designer) 자문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시장 반응 테스트 (개원의 선호 조사)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위 프로세스는 트랙 B(브랜드 시스템 재정립) 프로젝트로 정식 추진되어야 한다.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0.3. 주의사항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본 문서에 제시된 후보 HEX 값은 디자이너 관점의 이론적 제안이다. 정확한 Pantone 번호 확정, CMYK 변환, 인쇄 재현 예측은 모두 실측 테스트가 동반되어야 한다. 본 문서 단독으로 Pantone 스와치를 확정하지 말 것.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562873"/>
          <w:sz w:val="36"/>
          <w:szCs w:val="36"/>
        </w:rPr>
        <w:t xml:space="preserve">1. 현재 컬러 분석 — Pantone 269 C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1.1. BI Guideline 상의 정확값</w:t>
      </w:r>
    </w:p>
    <w:tbl>
      <w:tblPr>
        <w:tblW w:type="dxa" w:w="8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6000"/>
      </w:tblGrid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항목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값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컬러명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mirajet Dark Purple (Main)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Pantone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269 C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CMYK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C80 / M100 / Y20 / K10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RGB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R86 / G40 / B115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HEX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#562873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80"/>
      </w:pPr>
      <w:r>
        <w:rPr>
          <w:rFonts w:ascii="Malgun Gothic" w:cs="Malgun Gothic" w:eastAsia="Malgun Gothic" w:hAnsi="Malgun Gothic"/>
          <w:color w:val="888888"/>
          <w:sz w:val="18"/>
          <w:szCs w:val="18"/>
        </w:rPr>
        <w:t xml:space="preserve">출처: Mirajet Brand Identity Guideline · Basic System Ver 2.0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1.2. 물리적 속성 분석 (HSL 기준)</w:t>
      </w:r>
    </w:p>
    <w:tbl>
      <w:tblPr>
        <w:tblW w:type="dxa" w:w="8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2400"/>
        <w:gridCol w:w="4000"/>
      </w:tblGrid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축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값</w:t>
            </w:r>
          </w:p>
        </w:tc>
        <w:tc>
          <w:tcPr>
            <w:tcW w:type="dxa" w:w="4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해석</w:t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Hue (색조)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280°</w:t>
            </w:r>
          </w:p>
        </w:tc>
        <w:tc>
          <w:tcPr>
            <w:tcW w:type="dxa" w:w="4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Red-Purple 기울기 (여성적·화려함)</w:t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Saturation (채도)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48%</w:t>
            </w:r>
          </w:p>
        </w:tc>
        <w:tc>
          <w:tcPr>
            <w:tcW w:type="dxa" w:w="4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중상 채도 (튀는·활달한 인상)</w:t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Lightness (명도)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30%</w:t>
            </w:r>
          </w:p>
        </w:tc>
        <w:tc>
          <w:tcPr>
            <w:tcW w:type="dxa" w:w="4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중간 명도 (고급감 애매함)</w:t>
            </w:r>
          </w:p>
        </w:tc>
      </w:tr>
    </w:tbl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1.3. 진단 — "촌스럽게 느껴지는" 구조적 원인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Pantone 269C는 세 가지 속성이 결합하여 다음과 같은 인상을 유발한다.</w:t>
      </w:r>
    </w:p>
    <w:p>
      <w:pPr>
        <w:spacing w:after="120"/>
      </w:pPr>
      <w:r>
        <w:t xml:space="preserve"/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Red-Purple 기울기 → 화려함·여성성 강조 (의료기기 전문성과 맞지 않음)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중상 채도 → 튀는 느낌·대중성·소비재 연상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중간 명도 → 깊이감 부족 (고급 퍼플은 매우 어둡거나 매우 밝음)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이는 디자인 실력으로 일부 완화할 수 있으나, 근본 속성을 벗어나지 못한다. 면적 축소·대비 조정만으로는 "깔끔함"까지가 한계이며 "고급스러움"으로 넘어가기 어렵다.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1.4. 현재 Sub 컬러 Pantone 268 C의 존재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중요한 발견: 미라젯 BI는 이미 Sub 컬러로 **Pantone 268 C**를 보유하고 있다.</w:t>
      </w:r>
    </w:p>
    <w:p>
      <w:pPr>
        <w:spacing w:after="120"/>
      </w:pPr>
      <w:r>
        <w:t xml:space="preserve"/>
      </w:r>
    </w:p>
    <w:tbl>
      <w:tblPr>
        <w:tblW w:type="dxa" w:w="8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6000"/>
      </w:tblGrid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항목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값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컬러명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mirajet Light Purple (Sub)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Pantone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268 C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CMYK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C73 / M96 / Y5 / K0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RGB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R106 / G52 / B142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HEX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#6A348E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이 사실은 하이브리드 경로의 핵심 단서가 된다. Pantone 268 C는 Northwestern University가 공식 브랜드 컬러로 쓰는 색(Northwestern Purple, Pantone 268 C, #4E2A84)과 동일한 Pantone 번호이며, HEX 값 차이는 인쇄 조건·샘플 기준에 의한 미세 편차다.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즉 미라젯은 이미 "Northwestern 계열의 고급 퍼플"을 Sub 컬러로 보유하고 있으나, Main을 한 톤 진한 269C로 운영 중인 상황이다. **Main과 Sub의 위계를 재정의**하는 것이 하이브리드 경로에서 가장 비용 효율적인 전환 방식이 될 수 있다.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562873"/>
          <w:sz w:val="36"/>
          <w:szCs w:val="36"/>
        </w:rPr>
        <w:t xml:space="preserve">2. 레퍼런스 분석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2.1. Northwestern University — Pantone 268 C</w:t>
      </w:r>
    </w:p>
    <w:tbl>
      <w:tblPr>
        <w:tblW w:type="dxa" w:w="8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3000"/>
        <w:gridCol w:w="3400"/>
      </w:tblGrid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항목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값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4E2A84" w:val="clear"/>
            <w:tcMar>
              <w:top w:type="dxa" w:w="280"/>
              <w:left w:type="dxa" w:w="140"/>
              <w:bottom w:type="dxa" w:w="28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FFFFFF"/>
                <w:sz w:val="20"/>
                <w:szCs w:val="20"/>
              </w:rPr>
              <w:t xml:space="preserve">#4E2A84</w:t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HEX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#4E2A84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color w:val="888888"/>
                <w:sz w:val="18"/>
                <w:szCs w:val="18"/>
              </w:rPr>
              <w:t xml:space="preserve">RGB (78, 42, 132)</w:t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Pantone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PMS 268 C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HSL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264° / 52% / 34%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color w:val="888888"/>
                <w:sz w:val="18"/>
                <w:szCs w:val="18"/>
              </w:rPr>
              <w:t xml:space="preserve">Blue-Purple 기울기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Northwestern 가이드라인의 핵심 원칙</w:t>
      </w:r>
    </w:p>
    <w:p>
      <w:pPr>
        <w:pBdr>
          <w:left w:val="single" w:color="562873" w:sz="16" w:space="8"/>
        </w:pBdr>
        <w:spacing w:after="120" w:before="120"/>
        <w:ind w:left="360"/>
      </w:pPr>
      <w:r>
        <w:rPr>
          <w:rFonts w:ascii="Malgun Gothic" w:cs="Malgun Gothic" w:eastAsia="Malgun Gothic" w:hAnsi="Malgun Gothic"/>
          <w:i/>
          <w:iCs/>
          <w:color w:val="333333"/>
          <w:sz w:val="22"/>
          <w:szCs w:val="22"/>
        </w:rPr>
        <w:t xml:space="preserve">"새 팔레트는 Northwestern Purple을 기반으로 하지만, 대부분의 레이아웃에서 지배 색상은 흰색이어야 한다. 충분한 여백을 포함시키면 커뮤니케이션이 깔끔하고 현대적으로 느껴진다."</w:t>
      </w:r>
    </w:p>
    <w:p>
      <w:pPr>
        <w:spacing w:after="80"/>
      </w:pPr>
      <w:r>
        <w:rPr>
          <w:rFonts w:ascii="Malgun Gothic" w:cs="Malgun Gothic" w:eastAsia="Malgun Gothic" w:hAnsi="Malgun Gothic"/>
          <w:color w:val="888888"/>
          <w:sz w:val="18"/>
          <w:szCs w:val="18"/>
        </w:rPr>
        <w:t xml:space="preserve">출처: Northwestern University Brand Color Palettes Guidelines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Northwestern Purple의 특성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Hue 264° — Blue-Purple (미라젯 269C의 280°보다 20° 더 블루 쪽)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Saturation 52% — 채도는 비슷하나 Blue 기울기로 인해 차분해 보임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Lightness 34% — 명도도 비슷하나 Blue 기울기로 더 깊이 있어 보임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결과: 동일한 채도·명도라도 **Hue의 방향성만 달라도 인상이 완전히 달라짐**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2.2. Thermage — Plum/Mulberry 방향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Thermage 브랜드는 의료미용 시장에서 퍼플 계열을 가장 세련되게 운영하는 대표 사례로 꼽힌다. 다만 Thermage의 공식 Pantone·HEX 값은 공개 가이드라인에서 확인되지 않는다. 브랜드 자산 관찰에 기반한 추정치는 다음과 같다.</w:t>
      </w:r>
    </w:p>
    <w:p>
      <w:pPr>
        <w:spacing w:after="120"/>
      </w:pPr>
      <w:r>
        <w:t xml:space="preserve"/>
      </w:r>
    </w:p>
    <w:tbl>
      <w:tblPr>
        <w:tblW w:type="dxa" w:w="8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3000"/>
        <w:gridCol w:w="3400"/>
      </w:tblGrid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항목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추정값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5B2C5F" w:val="clear"/>
            <w:tcMar>
              <w:top w:type="dxa" w:w="280"/>
              <w:left w:type="dxa" w:w="140"/>
              <w:bottom w:type="dxa" w:w="28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FFFFFF"/>
                <w:sz w:val="20"/>
                <w:szCs w:val="20"/>
              </w:rPr>
              <w:t xml:space="preserve">#5B2C5F (추정)</w:t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HEX (추정)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#5B2C5F 계열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color w:val="888888"/>
                <w:sz w:val="18"/>
                <w:szCs w:val="18"/>
              </w:rPr>
              <w:t xml:space="preserve">Plum/Mulberry</w:t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방향성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어두운 Red-Purple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color w:val="888888"/>
                <w:sz w:val="18"/>
                <w:szCs w:val="18"/>
              </w:rPr>
              <w:t xml:space="preserve">와인 같은 깊이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80"/>
      </w:pPr>
      <w:r>
        <w:rPr>
          <w:rFonts w:ascii="Malgun Gothic" w:cs="Malgun Gothic" w:eastAsia="Malgun Gothic" w:hAnsi="Malgun Gothic"/>
          <w:color w:val="888888"/>
          <w:sz w:val="18"/>
          <w:szCs w:val="18"/>
        </w:rPr>
        <w:t xml:space="preserve">※ Thermage 컬러는 공식 Pantone 공개 없음. 상기 값은 브랜드 자산 관찰 기반 추정치로, 실제 브랜드 적용 시 정확값 확인 필요.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2.3. 고급 퍼플의 공통 속성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다양한 고급 브랜드의 퍼플을 관찰하면 다음 공통점이 발견된다.</w:t>
      </w:r>
    </w:p>
    <w:p>
      <w:pPr>
        <w:spacing w:after="120"/>
      </w:pPr>
      <w:r>
        <w:t xml:space="preserve"/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낮거나 중간 채도 (매우 높은 채도는 유아용·엔터테인먼트 연상)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Blue-Purple 기울기 또는 어두운 Red-Purple (밝은 Red-Purple은 대중재 연상)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매우 어두운 명도 (Lightness 30% 이하) 또는 매우 밝은 파스텔 (Lightness 85% 이상)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화이트·블랙·골드·크림 등 뉴트럴과 조합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제한된 면적 사용 (배경 도배 배제)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562873"/>
          <w:sz w:val="36"/>
          <w:szCs w:val="36"/>
        </w:rPr>
        <w:t xml:space="preserve">3. 대안 컬러 후보 5종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현재 Pantone 269C에서 출발하여, 가장 보수적인 조정부터 가장 급진적인 전환까지 5개 후보를 제시한다. 스펙트럼 상 점진적으로 변화하며, 사용자는 이 중 하나를 선택하거나 후보들 사이의 중간점을 탐색할 수 있다.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3.1. 후보 1 — Light Purple 승격 (BI 연속성 최대)</w:t>
      </w:r>
    </w:p>
    <w:tbl>
      <w:tblPr>
        <w:tblW w:type="dxa" w:w="8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3000"/>
        <w:gridCol w:w="3400"/>
      </w:tblGrid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항목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값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6A348E" w:val="clear"/>
            <w:tcMar>
              <w:top w:type="dxa" w:w="280"/>
              <w:left w:type="dxa" w:w="140"/>
              <w:bottom w:type="dxa" w:w="28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FFFFFF"/>
                <w:sz w:val="20"/>
                <w:szCs w:val="20"/>
              </w:rPr>
              <w:t xml:space="preserve">#6A348E</w:t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HEX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#6A348E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Pantone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268 C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현재 대비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현 Sub 컬러를 Main으로 승격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/>
            </w:r>
          </w:p>
        </w:tc>
      </w:tr>
    </w:tbl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방향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현재 미라젯이 이미 보유 중인 Sub 컬러(Pantone 268C)를 Main으로 승격시키는 방안. 신규 Pantone 지정 없이 기존 BI 자산 내에서 재배치만으로 해결된다.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장점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BI 가이드라인 개정 범위 최소화 (기존 Sub 컬러를 Main으로)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Northwestern Purple과 동일한 Pantone 번호(268C) 사용 → 국제적 고급 레퍼런스 확보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기존 브랜드 자산과의 연속성 확보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가장 빠르고 저비용인 실행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단점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여전히 Red-Purple 기울기 근처에 위치 → 체감 개선이 크지 않을 수 있음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현 269C와 시각적 차이가 크지 않아 "바꾼 효과"가 미약하게 느껴질 우려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권장 상황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하이브리드 경로에서 **가장 보수적인 시작점**. "최소한의 변경으로 최대 효과"를 원할 때. 트랙 B 본격 착수 전 임시 운영안으로도 적합.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3.2. 후보 2 — Northwestern Blue-Purple (레퍼런스 기반)</w:t>
      </w:r>
    </w:p>
    <w:tbl>
      <w:tblPr>
        <w:tblW w:type="dxa" w:w="8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3000"/>
        <w:gridCol w:w="3400"/>
      </w:tblGrid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항목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값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4E2A84" w:val="clear"/>
            <w:tcMar>
              <w:top w:type="dxa" w:w="280"/>
              <w:left w:type="dxa" w:w="140"/>
              <w:bottom w:type="dxa" w:w="28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FFFFFF"/>
                <w:sz w:val="20"/>
                <w:szCs w:val="20"/>
              </w:rPr>
              <w:t xml:space="preserve">#4E2A84</w:t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HEX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#4E2A84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Pantone 참조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268 C (Northwestern 동일)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HSL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264° / 52% / 34%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/>
            </w:r>
          </w:p>
        </w:tc>
      </w:tr>
    </w:tbl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방향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Northwestern University의 공식 퍼플 값(#4E2A84)을 미라젯 Main으로 채택. Pantone 268C 지정은 동일하지만, 구체적 HEX·CMYK 값을 Northwestern 실측치에 맞춰 조정.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장점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국제적으로 검증된 "고급 퍼플" 값 활용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Hue 264°의 Blue-Purple 기울기로 차분함·전문성 강화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미라젯 기존 268C 기반 자산과 호환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교육·연구·의료 영역에서 널리 인정되는 톤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단점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Northwestern과의 시각적 유사성 (동일 산업은 아니지만 퍼플 기반 브랜드로 인식 가능)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Pantone 268C의 실제 인쇄 재현은 Northwestern 스와치와 정확히 일치하지 않을 수 있음 (용지별 편차)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권장 상황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하이브리드 경로의 **현실적 중간점**. BI 연속성(Pantone 268C)은 유지하면서 실제 사용 값은 개선된 방향으로.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3.3. 후보 3 — Plum/Mulberry 방향 (Thermage 계열)</w:t>
      </w:r>
    </w:p>
    <w:tbl>
      <w:tblPr>
        <w:tblW w:type="dxa" w:w="8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3000"/>
        <w:gridCol w:w="3400"/>
      </w:tblGrid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항목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값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5B2C5F" w:val="clear"/>
            <w:tcMar>
              <w:top w:type="dxa" w:w="280"/>
              <w:left w:type="dxa" w:w="140"/>
              <w:bottom w:type="dxa" w:w="28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FFFFFF"/>
                <w:sz w:val="20"/>
                <w:szCs w:val="20"/>
              </w:rPr>
              <w:t xml:space="preserve">#5B2C5F</w:t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HEX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#5B2C5F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Pantone 추정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2617 C 또는 5265 C 계열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color w:val="888888"/>
                <w:sz w:val="18"/>
                <w:szCs w:val="18"/>
              </w:rPr>
              <w:t xml:space="preserve">※ 실측 확정 필요</w:t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HSL (근사)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295° / 37% / 28%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color w:val="888888"/>
                <w:sz w:val="18"/>
                <w:szCs w:val="18"/>
              </w:rPr>
              <w:t xml:space="preserve">Red-Purple, 낮은 채도·명도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방향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현재 Red-Purple 기울기는 유지하되, 채도를 대폭 낮추고 명도를 어둡게 조정. 결과적으로 "와인" 또는 "어두운 자두" 같은 깊이 있는 퍼플.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장점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현재와 Hue 방향성은 유사해 "미라젯다움" 유지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채도·명도 조정만으로 고급감 대폭 상승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Thermage 계열로 의료미용 시장 적합성 높음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Gold 액센트와의 조합이 매우 자연스러움 (와인+금 조합)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단점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현재 269C와 HEX 차이가 커서 변경 체감도 큼 (전환 비용 상승)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정확한 Pantone 번호는 실측 필요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"Red-Purple 쪽 고급" 방향은 "Blue-Purple 쪽 고급"(Northwestern 계열)과 성격이 다름 — 선택 기준 필요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권장 상황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**미라젯의 기존 Red-Purple 성격은 유지하되 고급감을 극대화**하려는 경우. 시술 브랜드로서의 고급 의료미용 포지셔닝을 원할 때.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3.4. 후보 4 — Deep Indigo (절제된 변화)</w:t>
      </w:r>
    </w:p>
    <w:tbl>
      <w:tblPr>
        <w:tblW w:type="dxa" w:w="8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3000"/>
        <w:gridCol w:w="3400"/>
      </w:tblGrid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항목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값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3E2462" w:val="clear"/>
            <w:tcMar>
              <w:top w:type="dxa" w:w="280"/>
              <w:left w:type="dxa" w:w="140"/>
              <w:bottom w:type="dxa" w:w="28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FFFFFF"/>
                <w:sz w:val="20"/>
                <w:szCs w:val="20"/>
              </w:rPr>
              <w:t xml:space="preserve">#3E2462</w:t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HEX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#3E2462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Pantone 추정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2755 C 또는 272 C 계열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color w:val="888888"/>
                <w:sz w:val="18"/>
                <w:szCs w:val="18"/>
              </w:rPr>
              <w:t xml:space="preserve">※ 실측 확정 필요</w:t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HSL (근사)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265° / 47% / 26%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color w:val="888888"/>
                <w:sz w:val="18"/>
                <w:szCs w:val="18"/>
              </w:rPr>
              <w:t xml:space="preserve">Blue-Purple, 저채도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방향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Northwestern Purple보다 한 단계 더 어둡고 차분한 톤. 인디고(남색)에 가까운 퍼플. 거의 블랙에 근접하지만 명백히 퍼플로 인식되는 경계선.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장점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고급감 극대화 (깊은 퍼플은 로열티·과학적 전문성 연상)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의료기기 브랜드로 적합한 진중함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블랙과 거의 구분되지만 "퍼플 정체성"은 유지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인쇄 시 매우 안정적 재현 (어두운 색은 용지 편차가 적음)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단점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퍼플 인식도가 낮아질 수 있음 (거의 남색 또는 블랙으로 인식될 위험)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현재 269C와 차이가 크게 체감됨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브랜드 아이덴티티 재정립 부담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권장 상황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**하이테크·과학·정밀 이미지를 극대화**하려는 경우. 미라젯의 기술적 측면(레이저·정밀 전달)을 브랜드 이미지의 중심에 놓을 때.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3.5. 후보 5 — Blue-Violet (가장 급진적 전환)</w:t>
      </w:r>
    </w:p>
    <w:tbl>
      <w:tblPr>
        <w:tblW w:type="dxa" w:w="8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3000"/>
        <w:gridCol w:w="3400"/>
      </w:tblGrid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항목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값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2E1A5C" w:val="clear"/>
            <w:tcMar>
              <w:top w:type="dxa" w:w="280"/>
              <w:left w:type="dxa" w:w="140"/>
              <w:bottom w:type="dxa" w:w="28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FFFFFF"/>
                <w:sz w:val="20"/>
                <w:szCs w:val="20"/>
              </w:rPr>
              <w:t xml:space="preserve">#2E1A5C</w:t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HEX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#2E1A5C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Pantone 추정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2745 C 또는 2755 C 계열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color w:val="888888"/>
                <w:sz w:val="18"/>
                <w:szCs w:val="18"/>
              </w:rPr>
              <w:t xml:space="preserve">※ 실측 확정 필요</w:t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HSL (근사)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254° / 55% / 23%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color w:val="888888"/>
                <w:sz w:val="18"/>
                <w:szCs w:val="18"/>
              </w:rPr>
              <w:t xml:space="preserve">Blue에 매우 근접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방향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퍼플-블루 경계선상의 톤. 육안으로는 "진한 남색"에 가깝게 보이지만 퍼플 계열 안에 머무름. 가장 큰 변화.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장점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완전히 다른 브랜드 인상으로 전환 가능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글로벌 프리미엄 의료·테크 브랜드 톤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"기존 촌스러움" 완전 탈피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단점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브랜드 아이덴티티 거의 새로 시작하는 수준의 부담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"미라젯=퍼플" 기존 인식과 단절 위험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BI 가이드라인 전면 개정 필수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모든 기존 자산(인쇄물·웹·부스·인증패) 교체 비용 큼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권장 상황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**글로벌 확장 시점** 또는 **제품 라인 전면 리뉴얼 시점**에 브랜드 재탄생 카드로. 현 브로셔 리뉴얼 시점에서는 부적합 가능성 높음.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562873"/>
          <w:sz w:val="36"/>
          <w:szCs w:val="36"/>
        </w:rPr>
        <w:t xml:space="preserve">4. 후보 비교 요약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4.1. 스펙트럼 포지셔닝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5개 후보를 "현재 유지 ↔ 전면 전환" 스펙트럼 상에 배치하면 다음과 같다.</w:t>
      </w:r>
    </w:p>
    <w:p>
      <w:pPr>
        <w:spacing w:after="120"/>
      </w:pPr>
      <w:r>
        <w:t xml:space="preserve"/>
      </w:r>
    </w:p>
    <w:tbl>
      <w:tblPr>
        <w:tblW w:type="dxa" w:w="84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0"/>
        <w:gridCol w:w="1200"/>
        <w:gridCol w:w="1400"/>
        <w:gridCol w:w="2400"/>
        <w:gridCol w:w="1400"/>
        <w:gridCol w:w="1226"/>
      </w:tblGrid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번호</w:t>
            </w:r>
          </w:p>
        </w:tc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스와치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HEX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성격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변경 부담</w:t>
            </w:r>
          </w:p>
        </w:tc>
        <w:tc>
          <w:tcPr>
            <w:tcW w:type="dxa" w:w="12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개선 체감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현재</w:t>
            </w:r>
          </w:p>
        </w:tc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562873" w:val="clear"/>
            <w:tcMar>
              <w:top w:type="dxa" w:w="280"/>
              <w:left w:type="dxa" w:w="140"/>
              <w:bottom w:type="dxa" w:w="28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FFFFFF"/>
                <w:sz w:val="20"/>
                <w:szCs w:val="20"/>
              </w:rPr>
              <w:t xml:space="preserve"/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#562873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Pantone 269C · 현재 Main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—</w:t>
            </w:r>
          </w:p>
        </w:tc>
        <w:tc>
          <w:tcPr>
            <w:tcW w:type="dxa" w:w="12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—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1</w:t>
            </w:r>
          </w:p>
        </w:tc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6A348E" w:val="clear"/>
            <w:tcMar>
              <w:top w:type="dxa" w:w="280"/>
              <w:left w:type="dxa" w:w="140"/>
              <w:bottom w:type="dxa" w:w="28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FFFFFF"/>
                <w:sz w:val="20"/>
                <w:szCs w:val="20"/>
              </w:rPr>
              <w:t xml:space="preserve"/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#6A348E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Light Purple 승격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color w:val="2E8B57"/>
                <w:sz w:val="20"/>
                <w:szCs w:val="20"/>
              </w:rPr>
              <w:t xml:space="preserve">최소</w:t>
            </w:r>
          </w:p>
        </w:tc>
        <w:tc>
          <w:tcPr>
            <w:tcW w:type="dxa" w:w="12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작음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2</w:t>
            </w:r>
          </w:p>
        </w:tc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4E2A84" w:val="clear"/>
            <w:tcMar>
              <w:top w:type="dxa" w:w="280"/>
              <w:left w:type="dxa" w:w="140"/>
              <w:bottom w:type="dxa" w:w="28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FFFFFF"/>
                <w:sz w:val="20"/>
                <w:szCs w:val="20"/>
              </w:rPr>
              <w:t xml:space="preserve"/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#4E2A84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Northwestern Blue-Purple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color w:val="2E8B57"/>
                <w:sz w:val="20"/>
                <w:szCs w:val="20"/>
              </w:rPr>
              <w:t xml:space="preserve">낮음</w:t>
            </w:r>
          </w:p>
        </w:tc>
        <w:tc>
          <w:tcPr>
            <w:tcW w:type="dxa" w:w="12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중간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3</w:t>
            </w:r>
          </w:p>
        </w:tc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5B2C5F" w:val="clear"/>
            <w:tcMar>
              <w:top w:type="dxa" w:w="280"/>
              <w:left w:type="dxa" w:w="140"/>
              <w:bottom w:type="dxa" w:w="28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FFFFFF"/>
                <w:sz w:val="20"/>
                <w:szCs w:val="20"/>
              </w:rPr>
              <w:t xml:space="preserve"/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#5B2C5F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Plum/Mulberry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중간</w:t>
            </w:r>
          </w:p>
        </w:tc>
        <w:tc>
          <w:tcPr>
            <w:tcW w:type="dxa" w:w="12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color w:val="2E8B57"/>
                <w:sz w:val="20"/>
                <w:szCs w:val="20"/>
              </w:rPr>
              <w:t xml:space="preserve">큼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4</w:t>
            </w:r>
          </w:p>
        </w:tc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3E2462" w:val="clear"/>
            <w:tcMar>
              <w:top w:type="dxa" w:w="280"/>
              <w:left w:type="dxa" w:w="140"/>
              <w:bottom w:type="dxa" w:w="28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FFFFFF"/>
                <w:sz w:val="20"/>
                <w:szCs w:val="20"/>
              </w:rPr>
              <w:t xml:space="preserve"/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#3E2462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Deep Indigo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중상</w:t>
            </w:r>
          </w:p>
        </w:tc>
        <w:tc>
          <w:tcPr>
            <w:tcW w:type="dxa" w:w="12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color w:val="2E8B57"/>
                <w:sz w:val="20"/>
                <w:szCs w:val="20"/>
              </w:rPr>
              <w:t xml:space="preserve">매우 큼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5</w:t>
            </w:r>
          </w:p>
        </w:tc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2E1A5C" w:val="clear"/>
            <w:tcMar>
              <w:top w:type="dxa" w:w="280"/>
              <w:left w:type="dxa" w:w="140"/>
              <w:bottom w:type="dxa" w:w="28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FFFFFF"/>
                <w:sz w:val="20"/>
                <w:szCs w:val="20"/>
              </w:rPr>
              <w:t xml:space="preserve"/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#2E1A5C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Blue-Violet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color w:val="C02626"/>
                <w:sz w:val="20"/>
                <w:szCs w:val="20"/>
              </w:rPr>
              <w:t xml:space="preserve">높음</w:t>
            </w:r>
          </w:p>
        </w:tc>
        <w:tc>
          <w:tcPr>
            <w:tcW w:type="dxa" w:w="122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color w:val="2E8B57"/>
                <w:sz w:val="20"/>
                <w:szCs w:val="20"/>
              </w:rPr>
              <w:t xml:space="preserve">매우 큼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4.2. 시각적 성격 분석</w:t>
      </w:r>
    </w:p>
    <w:tbl>
      <w:tblPr>
        <w:tblW w:type="dxa" w:w="84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00"/>
        <w:gridCol w:w="2000"/>
        <w:gridCol w:w="1400"/>
        <w:gridCol w:w="1400"/>
        <w:gridCol w:w="2440"/>
      </w:tblGrid>
      <w:tr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후보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Hue 방향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채도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명도</w:t>
            </w:r>
          </w:p>
        </w:tc>
        <w:tc>
          <w:tcPr>
            <w:tcW w:type="dxa" w:w="244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주된 인상</w:t>
            </w:r>
          </w:p>
        </w:tc>
      </w:tr>
      <w:tr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현재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Red-Purple 280°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중상 48%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중간 30%</w:t>
            </w:r>
          </w:p>
        </w:tc>
        <w:tc>
          <w:tcPr>
            <w:tcW w:type="dxa" w:w="244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활달·대중적·여성적</w:t>
            </w:r>
          </w:p>
        </w:tc>
      </w:tr>
      <w:tr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후보 1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Red-Purple 275°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중상 47%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중간 38%</w:t>
            </w:r>
          </w:p>
        </w:tc>
        <w:tc>
          <w:tcPr>
            <w:tcW w:type="dxa" w:w="244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살짝 밝고 개방적</w:t>
            </w:r>
          </w:p>
        </w:tc>
      </w:tr>
      <w:tr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후보 2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Blue-Purple 264°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중상 52%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중간 34%</w:t>
            </w:r>
          </w:p>
        </w:tc>
        <w:tc>
          <w:tcPr>
            <w:tcW w:type="dxa" w:w="244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차분·전문적·지적</w:t>
            </w:r>
          </w:p>
        </w:tc>
      </w:tr>
      <w:tr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후보 3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Red-Purple 295°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낮음 37%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어두움 28%</w:t>
            </w:r>
          </w:p>
        </w:tc>
        <w:tc>
          <w:tcPr>
            <w:tcW w:type="dxa" w:w="244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고급·성숙·와인 톤</w:t>
            </w:r>
          </w:p>
        </w:tc>
      </w:tr>
      <w:tr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후보 4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Blue-Purple 265°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중간 47%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어두움 26%</w:t>
            </w:r>
          </w:p>
        </w:tc>
        <w:tc>
          <w:tcPr>
            <w:tcW w:type="dxa" w:w="244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진중·하이테크·깊이</w:t>
            </w:r>
          </w:p>
        </w:tc>
      </w:tr>
      <w:tr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후보 5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Blue 254°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중상 55%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매우 어두움 23%</w:t>
            </w:r>
          </w:p>
        </w:tc>
        <w:tc>
          <w:tcPr>
            <w:tcW w:type="dxa" w:w="244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극도의 프리미엄·남색</w:t>
            </w:r>
          </w:p>
        </w:tc>
      </w:tr>
    </w:tbl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562873"/>
          <w:sz w:val="36"/>
          <w:szCs w:val="36"/>
        </w:rPr>
        <w:t xml:space="preserve">5. 의사결정 가이드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5.1. 선택 기준 매트릭스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다음 질문들에 답하면 적합한 후보군이 좁혀진다.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Q1. 현재 BI와의 연속성은 얼마나 중요한가?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매우 중요 (기존 자산 대량 보유·전환 비용 민감) → 후보 1 또는 후보 2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중요하지만 개선이 더 중요 → 후보 2 또는 후보 3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브랜드 재탄생 수준의 변화 수용 가능 → 후보 4 또는 후보 5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Q2. 미라젯의 브랜드 성격을 어느 방향으로 강화하고 싶은가?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학술적·지적·의학 전문성 강조 → 후보 2 (Blue-Purple 계열)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고급 시술·프리미엄 미용의료 강조 → 후보 3 (Plum 계열)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하이테크·레이저 기술·정밀성 강조 → 후보 4 (Deep Indigo)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글로벌 프리미엄·테크 리더 포지셔닝 → 후보 5 (Blue-Violet)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Q3. 전환 일정은 얼마나 가능한가?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즉시 (현 브로셔부터 반영) → 후보 1 (BI 내부 재배치만)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3~6개월 (BI 개정 작업 필요) → 후보 2 또는 후보 3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6~12개월 (전면 리브랜딩 수준) → 후보 4 또는 후보 5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5.2. 각 후보의 Gold 액센트와의 조합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미라젯 Gold(Pantone 10130C, #AF9071)와의 시각적 조합을 고려하면 선택이 달라질 수 있다.</w:t>
      </w:r>
    </w:p>
    <w:p>
      <w:pPr>
        <w:spacing w:after="120"/>
      </w:pPr>
      <w:r>
        <w:t xml:space="preserve"/>
      </w:r>
    </w:p>
    <w:tbl>
      <w:tblPr>
        <w:tblW w:type="dxa" w:w="86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00"/>
        <w:gridCol w:w="2400"/>
        <w:gridCol w:w="5040"/>
      </w:tblGrid>
      <w:tr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후보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Gold 조합 상성</w:t>
            </w:r>
          </w:p>
        </w:tc>
        <w:tc>
          <w:tcPr>
            <w:tcW w:type="dxa" w:w="504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코멘트</w:t>
            </w:r>
          </w:p>
        </w:tc>
      </w:tr>
      <w:tr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1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보통</w:t>
            </w:r>
          </w:p>
        </w:tc>
        <w:tc>
          <w:tcPr>
            <w:tcW w:type="dxa" w:w="504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현재와 유사 — 기존 Gold 조합 유지 가능</w:t>
            </w:r>
          </w:p>
        </w:tc>
      </w:tr>
      <w:tr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2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color w:val="2E8B57"/>
                <w:sz w:val="20"/>
                <w:szCs w:val="20"/>
              </w:rPr>
              <w:t xml:space="preserve">좋음</w:t>
            </w:r>
          </w:p>
        </w:tc>
        <w:tc>
          <w:tcPr>
            <w:tcW w:type="dxa" w:w="504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Blue-Purple × Gold = 학술·전통적 고급감 (대학·박물관 조합)</w:t>
            </w:r>
          </w:p>
        </w:tc>
      </w:tr>
      <w:tr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3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color w:val="2E8B57"/>
                <w:sz w:val="20"/>
                <w:szCs w:val="20"/>
              </w:rPr>
              <w:t xml:space="preserve">매우 좋음</w:t>
            </w:r>
          </w:p>
        </w:tc>
        <w:tc>
          <w:tcPr>
            <w:tcW w:type="dxa" w:w="504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Plum × Gold = 와인+금 조합, 시술·럭셔리 포지셔닝에 최적</w:t>
            </w:r>
          </w:p>
        </w:tc>
      </w:tr>
      <w:tr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4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color w:val="2E8B57"/>
                <w:sz w:val="20"/>
                <w:szCs w:val="20"/>
              </w:rPr>
              <w:t xml:space="preserve">좋음</w:t>
            </w:r>
          </w:p>
        </w:tc>
        <w:tc>
          <w:tcPr>
            <w:tcW w:type="dxa" w:w="504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Deep Indigo × Gold = 진중한 하이테크 고급감</w:t>
            </w:r>
          </w:p>
        </w:tc>
      </w:tr>
      <w:tr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5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보통</w:t>
            </w:r>
          </w:p>
        </w:tc>
        <w:tc>
          <w:tcPr>
            <w:tcW w:type="dxa" w:w="504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Gold보다 Silver 또는 Platinum 조합이 더 적합</w:t>
            </w:r>
          </w:p>
        </w:tc>
      </w:tr>
    </w:tbl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5.3. 디자이너 관점의 추정 순위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본 문서 작성자(디자인 총괄)의 판단 기준에서 후보를 정렬하면 다음과 같다. 이는 개인 판단이며 최종 결정의 근거가 아니다.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현실성·효과 균형 우선 순위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1위: 후보 2 (Northwestern Blue-Purple) — 변경 부담이 낮으면서 효과가 중간 이상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2위: 후보 3 (Plum/Mulberry) — 효과가 크지만 변경 부담 감당 가능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3위: 후보 1 (Light Purple 승격) — 가장 빠른 시행, 효과는 작음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4위: 후보 4 (Deep Indigo) — 효과 큼, 변경 부담 상당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5위: 후보 5 (Blue-Violet) — 현 시점 적합성 낮음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562873"/>
          <w:sz w:val="36"/>
          <w:szCs w:val="36"/>
        </w:rPr>
        <w:t xml:space="preserve">6. 다음 단계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6.1. 즉시 진행 (본 문서 이후)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산출물 B 작성: 와이어프레임 컬러 시뮬레이터 HTML 제작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후보 1~5를 버튼 토글로 즉시 비교 가능한 인터랙티브 도구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사용자 단독 1차 검토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6.2. 사내 의견 수렴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디자인팀 대상 시뮬레이터 시연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선호 후보 투표 + 근거 수집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마케팅·영업팀 피드백 (개원의 접점 관점)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경영진 1차 공유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6.3. 외부 전문가 자문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브랜드 컨설턴트 또는 Pantone Certified Designer 초빙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후보 2~3개로 좁혀진 상태에서 자문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정확한 Pantone 번호 확정 자문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6.4. 실측 테스트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선정 후보의 실제 Pantone 스와치 발주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코팅/언코팅 용지별 재현 테스트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디지털(RGB)·인쇄(CMYK)·영상(자기발광) 각 매체 재현 검증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6.5. 시장 검증 (선택)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현재 컬러 vs 신규 후보 A/B 테스트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개원의 대상 선호도 조사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익명 블라인드 테스트 (브랜드 명 제거 상태)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6.6. 최종 확정 및 BI 개정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신규 컬러 최종 확정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BI Guideline 개정판 발행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전환 로드맵 수립 (기존 자산 교체 순서)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모든 애플리케이션 재디자인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562873"/>
          <w:sz w:val="36"/>
          <w:szCs w:val="36"/>
        </w:rPr>
        <w:t xml:space="preserve">7. 제한사항 및 주의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7.1. 본 문서가 다루지 않는 것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정확한 Pantone 번호 확정 — 실측 테스트 필요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CMYK 변환값 정확화 — 용지·잉크 조건별 다름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한국 시장 고유의 문화적 컬러 인식 — 별도 시장 조사 영역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경쟁사 컬러 포지셔닝 중복 회피 분석 — 별도 조사 필요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Gold·Silver·뉴트럴 서브 컬러 조정 — 메인 확정 후 검토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7.2. 후보 HEX 값의 한계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본 문서에 제시된 5개 후보의 HEX 값은 디자인 실무 관점의 이론적 제안이다. 다음을 유념해야 한다.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디지털 디스플레이(RGB·HEX)와 실제 인쇄(Pantone·CMYK)는 같은 색이 아니다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같은 Pantone 번호도 용지·잉크·인쇄기에 따라 재현이 다르다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Hue·Saturation·Lightness 수치는 인간의 색 인식과 정확히 선형 대응하지 않는다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최종 컬러 결정은 반드시 실제 Pantone 스와치로 육안 확인 후 해야 한다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7.3. Thermage 등 레퍼런스 추정치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Thermage·Sculptra의 공식 Pantone 번호는 공개 브랜드 가이드라인에서 확인되지 않는다. 본 문서에 명시된 추정 HEX는 브랜드 자산 관찰에 기반한 시각적 근사치이며, 해당 브랜드의 실제 스펙과 일치하지 않을 수 있다.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7.4. 의사결정의 주관성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"고급스러움"·"세련됨"·"촌스러움"은 주관적 판단이다. 본 문서의 순위와 권장은 디자인 총괄 1인의 판단을 반영한 출발점이며, 최종 결정은 사용자·경영진·시장의 합의로 내려져야 한다.</w:t>
      </w:r>
    </w:p>
    <w:p>
      <w:pPr>
        <w:spacing w:after="120"/>
      </w:pPr>
      <w:r>
        <w:t xml:space="preserve"/>
      </w:r>
    </w:p>
    <w:p>
      <w:pPr>
        <w:pBdr>
          <w:bottom w:val="single" w:color="888888" w:sz="6" w:space="1"/>
        </w:pBdr>
        <w:spacing w:after="200"/>
      </w:pPr>
      <w:r>
        <w:t xml:space="preserve"/>
      </w:r>
    </w:p>
    <w:p>
      <w:pPr>
        <w:spacing w:after="120"/>
      </w:pPr>
      <w:r>
        <w:t xml:space="preserve"/>
      </w:r>
    </w:p>
    <w:p>
      <w:pPr>
        <w:spacing w:after="200" w:before="400"/>
        <w:jc w:val="center"/>
      </w:pPr>
      <w:r>
        <w:rPr>
          <w:rFonts w:ascii="Malgun Gothic" w:cs="Malgun Gothic" w:eastAsia="Malgun Gothic" w:hAnsi="Malgun Gothic"/>
          <w:i/>
          <w:iCs/>
          <w:color w:val="888888"/>
          <w:sz w:val="20"/>
          <w:szCs w:val="20"/>
        </w:rPr>
        <w:t xml:space="preserve">— 문서 끝 —</w:t>
      </w:r>
    </w:p>
    <w:p>
      <w:pPr>
        <w:spacing w:after="40"/>
        <w:jc w:val="center"/>
      </w:pPr>
      <w:r>
        <w:rPr>
          <w:rFonts w:ascii="Malgun Gothic" w:cs="Malgun Gothic" w:eastAsia="Malgun Gothic" w:hAnsi="Malgun Gothic"/>
          <w:color w:val="888888"/>
          <w:sz w:val="18"/>
          <w:szCs w:val="18"/>
        </w:rPr>
        <w:t xml:space="preserve">본 문서는 미라젯 브로셔 리뉴얼 및 하이브리드 컬러 전환 전략의 Step 1 산출물입니다.</w:t>
      </w:r>
    </w:p>
    <w:p>
      <w:pPr>
        <w:jc w:val="center"/>
      </w:pPr>
      <w:r>
        <w:rPr>
          <w:rFonts w:ascii="Malgun Gothic" w:cs="Malgun Gothic" w:eastAsia="Malgun Gothic" w:hAnsi="Malgun Gothic"/>
          <w:color w:val="888888"/>
          <w:sz w:val="18"/>
          <w:szCs w:val="18"/>
        </w:rPr>
        <w:t xml:space="preserve">Step 2: 와이어프레임 컬러 시뮬레이터(HTML) 작성이 이어집니다.</w:t>
      </w:r>
    </w:p>
    <w:sectPr>
      <w:headerReference w:type="default" r:id="rId7"/>
      <w:footerReference w:type="default" r:id="rId8"/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Malgun Gothic" w:cs="Malgun Gothic" w:eastAsia="Malgun Gothic" w:hAnsi="Malgun Gothic"/>
        <w:sz w:val="16"/>
        <w:szCs w:val="16"/>
      </w:rPr>
      <w:fldChar w:fldCharType="begin"/>
      <w:instrText xml:space="preserve">PAGE</w:instrText>
      <w:fldChar w:fldCharType="separate"/>
      <w:fldChar w:fldCharType="end"/>
    </w:r>
    <w:r>
      <w:rPr>
        <w:rFonts w:ascii="Malgun Gothic" w:cs="Malgun Gothic" w:eastAsia="Malgun Gothic" w:hAnsi="Malgun Gothic"/>
        <w:sz w:val="16"/>
        <w:szCs w:val="16"/>
      </w:rPr>
      <w:t xml:space="preserve"> / </w:t>
    </w:r>
    <w:r>
      <w:rPr>
        <w:rFonts w:ascii="Malgun Gothic" w:cs="Malgun Gothic" w:eastAsia="Malgun Gothic" w:hAnsi="Malgun Gothic"/>
        <w:sz w:val="16"/>
        <w:szCs w:val="16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rFonts w:ascii="Malgun Gothic" w:cs="Malgun Gothic" w:eastAsia="Malgun Gothic" w:hAnsi="Malgun Gothic"/>
        <w:color w:val="888888"/>
        <w:sz w:val="16"/>
        <w:szCs w:val="16"/>
      </w:rPr>
      <w:t xml:space="preserve">mirajet Brand Color Exploration v1.0 · Hybrid Approach Study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  <w:lvl w:ilvl="1" w15:tentative="1">
      <w:start w:val="1"/>
      <w:numFmt w:val="bullet"/>
      <w:lvlText w:val="◦"/>
      <w:lvlJc w:val="left"/>
      <w:pPr>
        <w:ind w:left="144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Malgun Gothic" w:cs="Malgun Gothic" w:eastAsia="Malgun Gothic" w:hAnsi="Malgun Gothic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00" w:before="400"/>
      <w:outlineLvl w:val="0"/>
    </w:pPr>
    <w:rPr>
      <w:rFonts w:ascii="Malgun Gothic" w:cs="Malgun Gothic" w:eastAsia="Malgun Gothic" w:hAnsi="Malgun Gothic"/>
      <w:b/>
      <w:bCs/>
      <w:color w:val="562873"/>
      <w:sz w:val="36"/>
      <w:szCs w:val="36"/>
    </w:rPr>
  </w:style>
  <w:style w:type="paragraph" w:styleId="Heading2">
    <w:name w:val="Heading 2"/>
    <w:basedOn w:val="Normal"/>
    <w:next w:val="Normal"/>
    <w:qFormat/>
    <w:pPr>
      <w:spacing w:after="160" w:before="300"/>
      <w:outlineLvl w:val="1"/>
    </w:pPr>
    <w:rPr>
      <w:rFonts w:ascii="Malgun Gothic" w:cs="Malgun Gothic" w:eastAsia="Malgun Gothic" w:hAnsi="Malgun Gothic"/>
      <w:b/>
      <w:bCs/>
      <w:color w:val="333333"/>
      <w:sz w:val="28"/>
      <w:szCs w:val="28"/>
    </w:rPr>
  </w:style>
  <w:style w:type="paragraph" w:styleId="Heading3">
    <w:name w:val="Heading 3"/>
    <w:basedOn w:val="Normal"/>
    <w:next w:val="Normal"/>
    <w:qFormat/>
    <w:pPr>
      <w:spacing w:after="120" w:before="240"/>
      <w:outlineLvl w:val="2"/>
    </w:pPr>
    <w:rPr>
      <w:rFonts w:ascii="Malgun Gothic" w:cs="Malgun Gothic" w:eastAsia="Malgun Gothic" w:hAnsi="Malgun Gothic"/>
      <w:b/>
      <w:bCs/>
      <w:color w:val="333333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mirajet Brand Color Exploration v1.0</dc:title>
  <dc:creator>JSK BIOMED Design Lead</dc:creator>
  <dc:description>Hybrid Color Transition Strategy — Candidate Analysis</dc:description>
  <cp:lastModifiedBy>Un-named</cp:lastModifiedBy>
  <cp:revision>1</cp:revision>
  <dcterms:created xsi:type="dcterms:W3CDTF">2026-04-20T14:13:59.759Z</dcterms:created>
  <dcterms:modified xsi:type="dcterms:W3CDTF">2026-04-20T14:13:59.760Z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