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1200"/>
      </w:pPr>
      <w:r>
        <w:t xml:space="preserve"/>
      </w:r>
    </w:p>
    <w:p>
      <w:pPr>
        <w:spacing w:after="200"/>
        <w:jc w:val="center"/>
      </w:pPr>
      <w:r>
        <w:rPr>
          <w:rFonts w:ascii="Malgun Gothic" w:cs="Malgun Gothic" w:eastAsia="Malgun Gothic" w:hAnsi="Malgun Gothic"/>
          <w:b/>
          <w:bCs/>
          <w:color w:val="888888"/>
          <w:sz w:val="20"/>
          <w:szCs w:val="20"/>
        </w:rPr>
        <w:t xml:space="preserve">PROJECT PROPOSAL</w:t>
      </w:r>
    </w:p>
    <w:p>
      <w:pPr>
        <w:spacing w:after="120"/>
        <w:jc w:val="center"/>
      </w:pPr>
      <w:r>
        <w:rPr>
          <w:rFonts w:ascii="Malgun Gothic" w:cs="Malgun Gothic" w:eastAsia="Malgun Gothic" w:hAnsi="Malgun Gothic"/>
          <w:b/>
          <w:bCs/>
          <w:i/>
          <w:iCs/>
          <w:color w:val="562873"/>
          <w:sz w:val="56"/>
          <w:szCs w:val="56"/>
        </w:rPr>
        <w:t xml:space="preserve">Track B</w:t>
      </w:r>
    </w:p>
    <w:p>
      <w:pPr>
        <w:spacing w:after="80"/>
        <w:jc w:val="center"/>
      </w:pPr>
      <w:r>
        <w:rPr>
          <w:rFonts w:ascii="Malgun Gothic" w:cs="Malgun Gothic" w:eastAsia="Malgun Gothic" w:hAnsi="Malgun Gothic"/>
          <w:b/>
          <w:bCs/>
          <w:sz w:val="44"/>
          <w:szCs w:val="44"/>
        </w:rPr>
        <w:t xml:space="preserve">배경 팔레트 시스템 구축</w:t>
      </w:r>
    </w:p>
    <w:p>
      <w:pPr>
        <w:spacing w:after="1200"/>
        <w:jc w:val="center"/>
      </w:pPr>
      <w:r>
        <w:rPr>
          <w:rFonts w:ascii="Malgun Gothic" w:cs="Malgun Gothic" w:eastAsia="Malgun Gothic" w:hAnsi="Malgun Gothic"/>
          <w:i/>
          <w:iCs/>
          <w:color w:val="333333"/>
          <w:sz w:val="26"/>
          <w:szCs w:val="26"/>
        </w:rPr>
        <w:t xml:space="preserve">Background Palette Architecture</w:t>
      </w:r>
    </w:p>
    <w:p>
      <w:pPr>
        <w:spacing w:after="40"/>
        <w:jc w:val="center"/>
      </w:pPr>
      <w:r>
        <w:rPr>
          <w:rFonts w:ascii="Malgun Gothic" w:cs="Malgun Gothic" w:eastAsia="Malgun Gothic" w:hAnsi="Malgun Gothic"/>
          <w:color w:val="333333"/>
          <w:sz w:val="22"/>
          <w:szCs w:val="22"/>
        </w:rPr>
        <w:t xml:space="preserve">화이트 단일 배경의 한계를 극복하고</w:t>
      </w:r>
    </w:p>
    <w:p>
      <w:pPr>
        <w:spacing w:after="1200"/>
        <w:jc w:val="center"/>
      </w:pPr>
      <w:r>
        <w:rPr>
          <w:rFonts w:ascii="Malgun Gothic" w:cs="Malgun Gothic" w:eastAsia="Malgun Gothic" w:hAnsi="Malgun Gothic"/>
          <w:color w:val="333333"/>
          <w:sz w:val="22"/>
          <w:szCs w:val="22"/>
        </w:rPr>
        <w:t xml:space="preserve">브랜드 질감과 시각적 리듬을 확보하는 작업</w:t>
      </w:r>
    </w:p>
    <w:p>
      <w:pPr>
        <w:spacing w:after="40"/>
        <w:jc w:val="center"/>
      </w:pPr>
      <w:r>
        <w:rPr>
          <w:rFonts w:ascii="Malgun Gothic" w:cs="Malgun Gothic" w:eastAsia="Malgun Gothic" w:hAnsi="Malgun Gothic"/>
          <w:sz w:val="22"/>
          <w:szCs w:val="22"/>
        </w:rPr>
        <w:t xml:space="preserve">제이에스케이바이오메드 · JSK BIOMED</w:t>
      </w:r>
    </w:p>
    <w:p>
      <w:pPr>
        <w:spacing w:after="120"/>
        <w:jc w:val="center"/>
      </w:pPr>
      <w:r>
        <w:rPr>
          <w:rFonts w:ascii="Malgun Gothic" w:cs="Malgun Gothic" w:eastAsia="Malgun Gothic" w:hAnsi="Malgun Gothic"/>
          <w:color w:val="888888"/>
          <w:sz w:val="20"/>
          <w:szCs w:val="20"/>
        </w:rPr>
        <w:t xml:space="preserve">Design Leadership · 2026.04</w:t>
      </w:r>
    </w:p>
    <w:p>
      <w:pPr>
        <w:jc w:val="center"/>
      </w:pPr>
      <w:r>
        <w:rPr>
          <w:rFonts w:ascii="Malgun Gothic" w:cs="Malgun Gothic" w:eastAsia="Malgun Gothic" w:hAnsi="Malgun Gothic"/>
          <w:color w:val="888888"/>
          <w:sz w:val="20"/>
          <w:szCs w:val="20"/>
        </w:rPr>
        <w:t xml:space="preserve">Proposal v1.0</w:t>
      </w:r>
    </w:p>
    <w:p>
      <w:r>
        <w:br w:type="page"/>
      </w:r>
    </w:p>
    <w:p>
      <w:pPr>
        <w:pStyle w:val="Heading1"/>
        <w:spacing w:after="200" w:before="400"/>
      </w:pPr>
      <w:r>
        <w:rPr>
          <w:rFonts w:ascii="Malgun Gothic" w:cs="Malgun Gothic" w:eastAsia="Malgun Gothic" w:hAnsi="Malgun Gothic"/>
          <w:b/>
          <w:bCs/>
          <w:color w:val="562873"/>
          <w:sz w:val="36"/>
          <w:szCs w:val="36"/>
        </w:rPr>
        <w:t xml:space="preserve">Executive Summary</w:t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프로젝트명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mirajet 배경 팔레트 시스템 구축 (Background Palette Architecture)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소속 트랙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트랙 B · 브랜드 시스템 재정립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제안 배경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미라젯 브로셔 리뉴얼 프로세스에서 "화이트 단일 배경의 한계"가 식별되었다. 페이지마다 배경이 동일한 화이트만 사용되어 시각적 변화·완급·질감이 부재하며, 이는 고급 의료기기 브로셔로서 불충분한 인상을 준다. 이 문제는 메인 컬러 재정립과 별개로 독립적 프로젝트로 다뤄져야 할 범위다.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핵심 제안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화이트 단일 배경 대신 6단계 뉴트럴 배경 팔레트를 설계·운영한다. 크림·베이지·쿨그레이·차콜·블랙 등 채도 낮은 뉴트럴 계열을 체계적으로 조합하여, 브랜드 일관성을 해치지 않으면서 페이지별 성격 부여·시각적 리듬 확보·Gold 자산 활성화를 동시에 달성한다.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기대 효과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페이지 간 시각적 리듬 확보 — 지루함 해소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고급 인쇄물 특유의 "촉감" 구현 — 브랜드 질감 상승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섹션별 성격 부여 — 콘텐츠 위계 강화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미라젯 Gold(Pantone 10130C) 자산 활성화 — 기존 BI 자산 효과 극대화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경쟁사와의 차별화 — 한국 의료기기 브로셔 대부분의 "화이트 일색" 관행 탈피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권장 일정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3~6개월 · 현 브로셔 리뉴얼 마감 이후 착수 권장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필요 리소스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내부: 디자인총괄 · 인쇄 관리자 · 마케팅팀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외부: 인쇄소 (용지 샘플 테스트) · 선택적으로 브랜드 컨설턴트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예산 규모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내부 인력 중심 진행 시 외부 비용 최소. 인쇄 샘플 테스트 비용 + 선택적 컨설팅 비용 발생. 구체 산정은 발주 방식 결정 후 확정.</w:t>
      </w:r>
    </w:p>
    <w:p>
      <w:r>
        <w:br w:type="page"/>
      </w:r>
    </w:p>
    <w:p>
      <w:pPr>
        <w:pStyle w:val="Heading1"/>
        <w:spacing w:after="200" w:before="400"/>
      </w:pPr>
      <w:r>
        <w:rPr>
          <w:rFonts w:ascii="Malgun Gothic" w:cs="Malgun Gothic" w:eastAsia="Malgun Gothic" w:hAnsi="Malgun Gothic"/>
          <w:b/>
          <w:bCs/>
          <w:color w:val="562873"/>
          <w:sz w:val="36"/>
          <w:szCs w:val="36"/>
        </w:rPr>
        <w:t xml:space="preserve">1. 문제 정의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1.1. 현재 상황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미라젯 브로셔 리뉴얼 과정에서 모든 페이지가 순백(#FFFFFF) 배경으로 설계되었다. 이는 "컬러 사용 절제"라는 원칙 하에 선택된 접근이나, 다음과 같은 한계가 발견되었다.</w:t>
      </w:r>
    </w:p>
    <w:p>
      <w:pPr>
        <w:spacing w:after="120"/>
      </w:pPr>
      <w:r>
        <w:t xml:space="preserve"/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1.2. 관찰된 문제</w:t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문제 1 — 시각적 변화 부재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12페이지 브로셔 전체가 동일한 화이트 배경이다. 독자(개원의)가 페이지를 넘길 때 "새 섹션에 진입했다"는 감각이 약하다. 섹션별 성격 차이(기술 vs 임상 vs 시술 vs 법정 고지)가 배경으로 전달되지 않는다.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문제 2 — 완급 조절 불가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강조 섹션(p.1 표지·p.7 임상 근거·p.12 연락처)과 일반 섹션의 시각적 무게가 유사하다. 고급 인쇄물은 배경 변화로 "휴식-집중-휴식"의 리듬을 만들지만, 현재는 평면적이다.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문제 3 — 고급 인쇄물 질감 부재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모든 페이지가 화이트면 용지 자체의 질감만으로 고급감을 전달해야 한다. 이는 용지 선택 비용을 크게 증가시키며, 아무리 좋은 용지를 써도 "모던한 깔끔함"까지만 가능하다. "성숙한 고급감"은 배경 차이에서 나온다.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문제 4 — Gold 자산 활용 제약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미라젯 BI는 Pantone 10130C Gold(#AF9071)를 공식 브랜드 컬러로 보유하고 있다. 그러나 화이트 배경과 Gold는 대비가 약해 Gold가 눈에 띄지 않는다. 반면 Cream·Beige 배경과 Gold는 전통적 럭셔리 조합으로 매우 효과적이다. 현재는 Gold 자산이 사실상 사장되어 있다.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문제 5 — 제품 사진의 "떠 보임"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화이트 배경에 화이트 제품(미라젯 기기 자체가 화이트 본체)을 배치하면 제품이 배경에 녹아든다. 실제 인쇄물에서 제품 이미지의 존재감이 약해진다. 이는 현 브로셔 리뉴얼 과정에서 지속적으로 발견된 문제다.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1.3. 문제의 본질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이상의 문제들은 **배경을 하나의 디자인 요소로 취급하지 않은 데서 기인**한다. 배경은 "콘텐츠를 담는 빈 공간"이 아니라, 콘텐츠의 성격을 프레이밍하고 위계를 부여하며 브랜드 질감을 전달하는 **적극적 표현 수단**이다.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현재 미라젯 BI는 Main(퍼플)·Sub(그레이)·Metallic(Gold·Silver)까지 정의되어 있으나, **배경 시스템은 정의되어 있지 않다**. 화이트를 기본값으로 사용할 뿐이다. 이는 BI 가이드라인의 공백 영역이다.</w:t>
      </w:r>
    </w:p>
    <w:p>
      <w:r>
        <w:br w:type="page"/>
      </w:r>
    </w:p>
    <w:p>
      <w:pPr>
        <w:pStyle w:val="Heading1"/>
        <w:spacing w:after="200" w:before="400"/>
      </w:pPr>
      <w:r>
        <w:rPr>
          <w:rFonts w:ascii="Malgun Gothic" w:cs="Malgun Gothic" w:eastAsia="Malgun Gothic" w:hAnsi="Malgun Gothic"/>
          <w:b/>
          <w:bCs/>
          <w:color w:val="562873"/>
          <w:sz w:val="36"/>
          <w:szCs w:val="36"/>
        </w:rPr>
        <w:t xml:space="preserve">2. 레퍼런스 분석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2.1. 고급 의료기기·럭셔리 브랜드의 배경 운영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배경 다변화 전략을 성공적으로 운영하는 브랜드들을 관찰하면 공통 원리가 있다.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Thermage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Cream·Off-white 베이스 + 딥 Plum 인서트 섹션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제품 사진 배경은 미묘한 Beige 톤으로 제품 돋보이게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법정 고지 영역은 차콜 배경 반전으로 구분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Sculptra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화이트 + Soft Lilac + Deep Violet 3단계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섹션 타이틀마다 배경 틴트 변화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Before/After 섹션은 의도적으로 중성 회색 배경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Hermès (참조용)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시그니처 Orange + Cream + Chocolate Brown 3단계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배경 자체가 브랜드 언어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제품별 다른 배경 조합 — 스카프는 Cream, 가죽은 Brown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Aesop (참조용)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Kraft·Olive·Taupe 뉴트럴 조합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배경만으로 "자연주의 럭셔리" 전달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화이트는 거의 사용하지 않음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2.2. 공통 원리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채도 낮은 뉴트럴 계열 3~5단계 운영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각 배경의 용도 명확히 구분 (기술·감성·법정·강조 등)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메인 컬러와의 조합 규칙 정의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한 섹션 내에서는 하나의 배경만 사용 (혼재 금지)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페이지 넘김 시 배경 전환으로 "장면 전환" 감각 조성</w:t>
      </w:r>
    </w:p>
    <w:p>
      <w:r>
        <w:br w:type="page"/>
      </w:r>
    </w:p>
    <w:p>
      <w:pPr>
        <w:pStyle w:val="Heading1"/>
        <w:spacing w:after="200" w:before="400"/>
      </w:pPr>
      <w:r>
        <w:rPr>
          <w:rFonts w:ascii="Malgun Gothic" w:cs="Malgun Gothic" w:eastAsia="Malgun Gothic" w:hAnsi="Malgun Gothic"/>
          <w:b/>
          <w:bCs/>
          <w:color w:val="562873"/>
          <w:sz w:val="36"/>
          <w:szCs w:val="36"/>
        </w:rPr>
        <w:t xml:space="preserve">3. 제안 — 6단계 뉴트럴 배경 팔레트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미라젯에 적용할 배경 팔레트를 제안한다. 구체 HEX 값은 실측 테스트 후 조정이 필요한 초안이다.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3.1. 팔레트 구성</w:t>
      </w:r>
    </w:p>
    <w:tbl>
      <w:tblPr>
        <w:tblW w:type="dxa" w:w="90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00"/>
        <w:gridCol w:w="2000"/>
        <w:gridCol w:w="1200"/>
        <w:gridCol w:w="1200"/>
        <w:gridCol w:w="4000"/>
      </w:tblGrid>
      <w:tr>
        <w:tc>
          <w:tcPr>
            <w:tcW w:type="dxa" w:w="6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#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이름</w:t>
            </w:r>
          </w:p>
        </w:tc>
        <w:tc>
          <w:tcPr>
            <w:tcW w:type="dxa" w:w="1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200"/>
              <w:left w:type="dxa" w:w="100"/>
              <w:bottom w:type="dxa" w:w="200"/>
              <w:right w:type="dxa" w:w="10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color w:val="999999"/>
                <w:sz w:val="18"/>
                <w:szCs w:val="18"/>
              </w:rPr>
              <w:t xml:space="preserve"/>
            </w:r>
          </w:p>
        </w:tc>
        <w:tc>
          <w:tcPr>
            <w:tcW w:type="dxa" w:w="1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HEX</w:t>
            </w:r>
          </w:p>
        </w:tc>
        <w:tc>
          <w:tcPr>
            <w:tcW w:type="dxa" w:w="4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용도</w:t>
            </w:r>
          </w:p>
        </w:tc>
      </w:tr>
      <w:tr>
        <w:tc>
          <w:tcPr>
            <w:tcW w:type="dxa" w:w="6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1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Primary Paper</w:t>
            </w:r>
          </w:p>
        </w:tc>
        <w:tc>
          <w:tcPr>
            <w:tcW w:type="dxa" w:w="1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200"/>
              <w:left w:type="dxa" w:w="100"/>
              <w:bottom w:type="dxa" w:w="200"/>
              <w:right w:type="dxa" w:w="10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color w:val="999999"/>
                <w:sz w:val="18"/>
                <w:szCs w:val="18"/>
              </w:rPr>
              <w:t xml:space="preserve"/>
            </w:r>
          </w:p>
        </w:tc>
        <w:tc>
          <w:tcPr>
            <w:tcW w:type="dxa" w:w="1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18"/>
                <w:szCs w:val="18"/>
              </w:rPr>
              <w:t xml:space="preserve">#FFFFFF</w:t>
            </w:r>
          </w:p>
        </w:tc>
        <w:tc>
          <w:tcPr>
            <w:tcW w:type="dxa" w:w="4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순백 · 핵심 데이터·차트·임상 정보 영역</w:t>
            </w:r>
          </w:p>
        </w:tc>
      </w:tr>
      <w:tr>
        <w:tc>
          <w:tcPr>
            <w:tcW w:type="dxa" w:w="6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2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Warm Cream</w:t>
            </w:r>
          </w:p>
        </w:tc>
        <w:tc>
          <w:tcPr>
            <w:tcW w:type="dxa" w:w="1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AF7F2" w:val="clear"/>
            <w:tcMar>
              <w:top w:type="dxa" w:w="200"/>
              <w:left w:type="dxa" w:w="100"/>
              <w:bottom w:type="dxa" w:w="200"/>
              <w:right w:type="dxa" w:w="10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color w:val="999999"/>
                <w:sz w:val="18"/>
                <w:szCs w:val="18"/>
              </w:rPr>
              <w:t xml:space="preserve"/>
            </w:r>
          </w:p>
        </w:tc>
        <w:tc>
          <w:tcPr>
            <w:tcW w:type="dxa" w:w="1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18"/>
                <w:szCs w:val="18"/>
              </w:rPr>
              <w:t xml:space="preserve">#FAF7F2</w:t>
            </w:r>
          </w:p>
        </w:tc>
        <w:tc>
          <w:tcPr>
            <w:tcW w:type="dxa" w:w="4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크림 · 브랜드 스테이트먼트·감성 영역</w:t>
            </w:r>
          </w:p>
        </w:tc>
      </w:tr>
      <w:tr>
        <w:tc>
          <w:tcPr>
            <w:tcW w:type="dxa" w:w="6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3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Cool Paper</w:t>
            </w:r>
          </w:p>
        </w:tc>
        <w:tc>
          <w:tcPr>
            <w:tcW w:type="dxa" w:w="1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7F8F9" w:val="clear"/>
            <w:tcMar>
              <w:top w:type="dxa" w:w="200"/>
              <w:left w:type="dxa" w:w="100"/>
              <w:bottom w:type="dxa" w:w="200"/>
              <w:right w:type="dxa" w:w="10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color w:val="999999"/>
                <w:sz w:val="18"/>
                <w:szCs w:val="18"/>
              </w:rPr>
              <w:t xml:space="preserve"/>
            </w:r>
          </w:p>
        </w:tc>
        <w:tc>
          <w:tcPr>
            <w:tcW w:type="dxa" w:w="1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18"/>
                <w:szCs w:val="18"/>
              </w:rPr>
              <w:t xml:space="preserve">#F7F8F9</w:t>
            </w:r>
          </w:p>
        </w:tc>
        <w:tc>
          <w:tcPr>
            <w:tcW w:type="dxa" w:w="4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쿨 그레이 · 기술·임상 근거 영역</w:t>
            </w:r>
          </w:p>
        </w:tc>
      </w:tr>
      <w:tr>
        <w:tc>
          <w:tcPr>
            <w:tcW w:type="dxa" w:w="6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4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Soft Beige</w:t>
            </w:r>
          </w:p>
        </w:tc>
        <w:tc>
          <w:tcPr>
            <w:tcW w:type="dxa" w:w="1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3EFE8" w:val="clear"/>
            <w:tcMar>
              <w:top w:type="dxa" w:w="200"/>
              <w:left w:type="dxa" w:w="100"/>
              <w:bottom w:type="dxa" w:w="200"/>
              <w:right w:type="dxa" w:w="10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color w:val="999999"/>
                <w:sz w:val="18"/>
                <w:szCs w:val="18"/>
              </w:rPr>
              <w:t xml:space="preserve"/>
            </w:r>
          </w:p>
        </w:tc>
        <w:tc>
          <w:tcPr>
            <w:tcW w:type="dxa" w:w="1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18"/>
                <w:szCs w:val="18"/>
              </w:rPr>
              <w:t xml:space="preserve">#F3EFE8</w:t>
            </w:r>
          </w:p>
        </w:tc>
        <w:tc>
          <w:tcPr>
            <w:tcW w:type="dxa" w:w="4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베이지 · 라이프스타일·Before/After 영역</w:t>
            </w:r>
          </w:p>
        </w:tc>
      </w:tr>
      <w:tr>
        <w:tc>
          <w:tcPr>
            <w:tcW w:type="dxa" w:w="6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5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Deep Charcoal</w:t>
            </w:r>
          </w:p>
        </w:tc>
        <w:tc>
          <w:tcPr>
            <w:tcW w:type="dxa" w:w="1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1F1F23" w:val="clear"/>
            <w:tcMar>
              <w:top w:type="dxa" w:w="200"/>
              <w:left w:type="dxa" w:w="100"/>
              <w:bottom w:type="dxa" w:w="200"/>
              <w:right w:type="dxa" w:w="10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color w:val="FFFFFF"/>
                <w:sz w:val="18"/>
                <w:szCs w:val="18"/>
              </w:rPr>
              <w:t xml:space="preserve">#1F1F23</w:t>
            </w:r>
          </w:p>
        </w:tc>
        <w:tc>
          <w:tcPr>
            <w:tcW w:type="dxa" w:w="1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18"/>
                <w:szCs w:val="18"/>
              </w:rPr>
              <w:t xml:space="preserve">#1F1F23</w:t>
            </w:r>
          </w:p>
        </w:tc>
        <w:tc>
          <w:tcPr>
            <w:tcW w:type="dxa" w:w="4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차콜 · 표지·강조 섹션 인서트</w:t>
            </w:r>
          </w:p>
        </w:tc>
      </w:tr>
      <w:tr>
        <w:tc>
          <w:tcPr>
            <w:tcW w:type="dxa" w:w="6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6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Pure Ink</w:t>
            </w:r>
          </w:p>
        </w:tc>
        <w:tc>
          <w:tcPr>
            <w:tcW w:type="dxa" w:w="1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0A0A0A" w:val="clear"/>
            <w:tcMar>
              <w:top w:type="dxa" w:w="200"/>
              <w:left w:type="dxa" w:w="100"/>
              <w:bottom w:type="dxa" w:w="200"/>
              <w:right w:type="dxa" w:w="10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color w:val="FFFFFF"/>
                <w:sz w:val="18"/>
                <w:szCs w:val="18"/>
              </w:rPr>
              <w:t xml:space="preserve">#0A0A0A</w:t>
            </w:r>
          </w:p>
        </w:tc>
        <w:tc>
          <w:tcPr>
            <w:tcW w:type="dxa" w:w="1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18"/>
                <w:szCs w:val="18"/>
              </w:rPr>
              <w:t xml:space="preserve">#0A0A0A</w:t>
            </w:r>
          </w:p>
        </w:tc>
        <w:tc>
          <w:tcPr>
            <w:tcW w:type="dxa" w:w="4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블랙 · 최고급감 반전 · 특별 영역</w:t>
            </w:r>
          </w:p>
        </w:tc>
      </w:tr>
    </w:tbl>
    <w:p>
      <w:pPr>
        <w:spacing w:after="120"/>
      </w:pPr>
      <w:r>
        <w:t xml:space="preserve"/>
      </w:r>
    </w:p>
    <w:p>
      <w:pPr>
        <w:spacing w:after="80"/>
      </w:pPr>
      <w:r>
        <w:rPr>
          <w:rFonts w:ascii="Malgun Gothic" w:cs="Malgun Gothic" w:eastAsia="Malgun Gothic" w:hAnsi="Malgun Gothic"/>
          <w:color w:val="888888"/>
          <w:sz w:val="18"/>
          <w:szCs w:val="18"/>
        </w:rPr>
        <w:t xml:space="preserve">※ 상기 HEX는 디자인 실무 초안이며, 실제 용지 인쇄 샘플 테스트 후 확정되어야 함.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3.2. 용도 분류 원칙</w:t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"읽는 용도"와 "보는 용도" 구분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Primary Paper(화이트)는 데이터·표·숫자·기술 정보 등 **정확히 읽어야 하는 영역**에 배타적으로 사용한다. 가독성 최고가 요구되는 영역이다.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"감성 영역"과 "기술 영역" 분리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Warm Cream은 감성·브랜드·환자 스토리를, Cool Paper는 기술·임상·숫자를 담는다. 이는 톤 자체가 가진 심리적 효과를 활용한다. 따뜻한 톤은 공감을, 차가운 톤은 신뢰를 전달한다.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반전 인서트 전략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Deep Charcoal과 Pure Ink는 전면 배경이 아닌 **부분 인서트**로만 사용한다. 표지 타이틀 백그라운드, 또는 핵심 스페시픽 섹션(예: AMWC 수상 · p.11 캠페인 강조)의 1개 블록 내부 배경으로 활용한다. 페이지 전체를 차콜/블랙으로 만들면 브로셔 톤이 무거워진다.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3.3. 미라젯 Gold와의 조합 매트릭스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각 배경별로 미라젯 Gold(#AF9071)의 시각적 효과를 평가한다.</w:t>
      </w:r>
    </w:p>
    <w:p>
      <w:pPr>
        <w:spacing w:after="120"/>
      </w:pPr>
      <w:r>
        <w:t xml:space="preserve"/>
      </w:r>
    </w:p>
    <w:tbl>
      <w:tblPr>
        <w:tblW w:type="dxa" w:w="88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2000"/>
        <w:gridCol w:w="4800"/>
      </w:tblGrid>
      <w:tr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배경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Gold 효과</w:t>
            </w:r>
          </w:p>
        </w:tc>
        <w:tc>
          <w:tcPr>
            <w:tcW w:type="dxa" w:w="4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코멘트</w:t>
            </w:r>
          </w:p>
        </w:tc>
      </w:tr>
      <w:tr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Primary Paper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약함</w:t>
            </w:r>
          </w:p>
        </w:tc>
        <w:tc>
          <w:tcPr>
            <w:tcW w:type="dxa" w:w="4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Gold가 묻혀 보임. Spot UV나 호일 가공으로 보완 필요</w:t>
            </w:r>
          </w:p>
        </w:tc>
      </w:tr>
      <w:tr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Warm Cream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color w:val="2E8B57"/>
                <w:sz w:val="20"/>
                <w:szCs w:val="20"/>
              </w:rPr>
              <w:t xml:space="preserve">매우 좋음</w:t>
            </w:r>
          </w:p>
        </w:tc>
        <w:tc>
          <w:tcPr>
            <w:tcW w:type="dxa" w:w="4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크림+금 — 고전적 럭셔리 조합. 브랜드 스테이트먼트 최적</w:t>
            </w:r>
          </w:p>
        </w:tc>
      </w:tr>
      <w:tr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Cool Paper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보통</w:t>
            </w:r>
          </w:p>
        </w:tc>
        <w:tc>
          <w:tcPr>
            <w:tcW w:type="dxa" w:w="4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차가운 배경과 따뜻한 금은 대비 효과 있으나 절제된 톤</w:t>
            </w:r>
          </w:p>
        </w:tc>
      </w:tr>
      <w:tr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Soft Beige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color w:val="2E8B57"/>
                <w:sz w:val="20"/>
                <w:szCs w:val="20"/>
              </w:rPr>
              <w:t xml:space="preserve">매우 좋음</w:t>
            </w:r>
          </w:p>
        </w:tc>
        <w:tc>
          <w:tcPr>
            <w:tcW w:type="dxa" w:w="4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베이지+금 — 자연스럽고 따뜻한 프리미엄</w:t>
            </w:r>
          </w:p>
        </w:tc>
      </w:tr>
      <w:tr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Deep Charcoal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color w:val="2E8B57"/>
                <w:sz w:val="20"/>
                <w:szCs w:val="20"/>
              </w:rPr>
              <w:t xml:space="preserve">최상</w:t>
            </w:r>
          </w:p>
        </w:tc>
        <w:tc>
          <w:tcPr>
            <w:tcW w:type="dxa" w:w="4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차콜+금 — 극한의 고급감. 표지 타이틀에 이상적</w:t>
            </w:r>
          </w:p>
        </w:tc>
      </w:tr>
      <w:tr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Pure Ink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color w:val="2E8B57"/>
                <w:sz w:val="20"/>
                <w:szCs w:val="20"/>
              </w:rPr>
              <w:t xml:space="preserve">최상</w:t>
            </w:r>
          </w:p>
        </w:tc>
        <w:tc>
          <w:tcPr>
            <w:tcW w:type="dxa" w:w="4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블랙+금 — 가장 극적. 단 사용 빈도 최소화 필수</w:t>
            </w:r>
          </w:p>
        </w:tc>
      </w:tr>
    </w:tbl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발견된 통찰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**배경 팔레트 다변화의 부수 효과는 Gold 자산 활성화**다. 6개 배경 중 4개(Cream·Beige·Charcoal·Ink)가 Gold와 "좋음 이상"의 조합을 이룬다. 이는 사실상 무비용으로 기존 BI 자산 활용도를 극대화하는 효과다.</w:t>
      </w:r>
    </w:p>
    <w:p>
      <w:r>
        <w:br w:type="page"/>
      </w:r>
    </w:p>
    <w:p>
      <w:pPr>
        <w:pStyle w:val="Heading1"/>
        <w:spacing w:after="200" w:before="400"/>
      </w:pPr>
      <w:r>
        <w:rPr>
          <w:rFonts w:ascii="Malgun Gothic" w:cs="Malgun Gothic" w:eastAsia="Malgun Gothic" w:hAnsi="Malgun Gothic"/>
          <w:b/>
          <w:bCs/>
          <w:color w:val="562873"/>
          <w:sz w:val="36"/>
          <w:szCs w:val="36"/>
        </w:rPr>
        <w:t xml:space="preserve">4. 미라젯 브로셔 적용 예시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위 6단계 팔레트를 실제 12페이지 미라젯 브로셔에 적용했을 때의 구체적 시나리오를 예시한다. 이는 예시일 뿐 확정안이 아니다.</w:t>
      </w:r>
    </w:p>
    <w:p>
      <w:pPr>
        <w:spacing w:after="120"/>
      </w:pPr>
      <w:r>
        <w:t xml:space="preserve"/>
      </w:r>
    </w:p>
    <w:tbl>
      <w:tblPr>
        <w:tblW w:type="dxa" w:w="90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0"/>
        <w:gridCol w:w="2400"/>
        <w:gridCol w:w="2400"/>
        <w:gridCol w:w="3400"/>
      </w:tblGrid>
      <w:t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페이지</w:t>
            </w:r>
          </w:p>
        </w:tc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섹션</w:t>
            </w:r>
          </w:p>
        </w:tc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주 배경</w:t>
            </w:r>
          </w:p>
        </w:tc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의도</w:t>
            </w:r>
          </w:p>
        </w:tc>
      </w:tr>
      <w:t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p.1</w:t>
            </w:r>
          </w:p>
        </w:tc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표지</w:t>
            </w:r>
          </w:p>
        </w:tc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Deep Charcoal 인서트 + Cream 바디</w:t>
            </w:r>
          </w:p>
        </w:tc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강렬한 임팩트 · Gold 타이틀 효과</w:t>
            </w:r>
          </w:p>
        </w:tc>
      </w:tr>
      <w:t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p.2</w:t>
            </w:r>
          </w:p>
        </w:tc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Intro 스테이트먼트</w:t>
            </w:r>
          </w:p>
        </w:tc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Warm Cream</w:t>
            </w:r>
          </w:p>
        </w:tc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브랜드 선언 · 감성 영역</w:t>
            </w:r>
          </w:p>
        </w:tc>
      </w:tr>
      <w:t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p.3</w:t>
            </w:r>
          </w:p>
        </w:tc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Mechanism</w:t>
            </w:r>
          </w:p>
        </w:tc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Cool Paper</w:t>
            </w:r>
          </w:p>
        </w:tc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기술·과학 영역</w:t>
            </w:r>
          </w:p>
        </w:tc>
      </w:tr>
      <w:t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p.4</w:t>
            </w:r>
          </w:p>
        </w:tc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Features (4대 기술)</w:t>
            </w:r>
          </w:p>
        </w:tc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Primary Paper</w:t>
            </w:r>
          </w:p>
        </w:tc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정확한 스펙·숫자 영역</w:t>
            </w:r>
          </w:p>
        </w:tc>
      </w:tr>
      <w:t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p.5</w:t>
            </w:r>
          </w:p>
        </w:tc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Benefits (의·환자)</w:t>
            </w:r>
          </w:p>
        </w:tc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Primary Paper</w:t>
            </w:r>
          </w:p>
        </w:tc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데이터 중심 · 가독성 최우선</w:t>
            </w:r>
          </w:p>
        </w:tc>
      </w:tr>
      <w:t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p.6</w:t>
            </w:r>
          </w:p>
        </w:tc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Process + Indications</w:t>
            </w:r>
          </w:p>
        </w:tc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Cool Paper</w:t>
            </w:r>
          </w:p>
        </w:tc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시술 프로세스·기술 영역</w:t>
            </w:r>
          </w:p>
        </w:tc>
      </w:tr>
      <w:t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p.7</w:t>
            </w:r>
          </w:p>
        </w:tc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Clinical Evidence</w:t>
            </w:r>
          </w:p>
        </w:tc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Primary Paper + Cool 인서트</w:t>
            </w:r>
          </w:p>
        </w:tc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핵심 데이터 가독성 확보</w:t>
            </w:r>
          </w:p>
        </w:tc>
      </w:tr>
      <w:t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p.8</w:t>
            </w:r>
          </w:p>
        </w:tc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Publications</w:t>
            </w:r>
          </w:p>
        </w:tc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Primary Paper</w:t>
            </w:r>
          </w:p>
        </w:tc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학술 리스트 영역</w:t>
            </w:r>
          </w:p>
        </w:tc>
      </w:tr>
      <w:t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p.9</w:t>
            </w:r>
          </w:p>
        </w:tc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Certifications</w:t>
            </w:r>
          </w:p>
        </w:tc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Primary Paper + Cream 인서트</w:t>
            </w:r>
          </w:p>
        </w:tc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인증 + AMWC Gold 조합 영역</w:t>
            </w:r>
          </w:p>
        </w:tc>
      </w:tr>
      <w:t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p.10</w:t>
            </w:r>
          </w:p>
        </w:tc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Product · Family</w:t>
            </w:r>
          </w:p>
        </w:tc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Soft Beige</w:t>
            </w:r>
          </w:p>
        </w:tc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제품 사진 돋보임 · Gold 조화</w:t>
            </w:r>
          </w:p>
        </w:tc>
      </w:tr>
      <w:t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p.11</w:t>
            </w:r>
          </w:p>
        </w:tc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Campaign</w:t>
            </w:r>
          </w:p>
        </w:tc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Warm Cream</w:t>
            </w:r>
          </w:p>
        </w:tc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환자·감성·라이프 영역</w:t>
            </w:r>
          </w:p>
        </w:tc>
      </w:tr>
      <w:tr>
        <w:tc>
          <w:tcPr>
            <w:tcW w:type="dxa" w:w="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p.12</w:t>
            </w:r>
          </w:p>
        </w:tc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Contact · 법정 고지</w:t>
            </w:r>
          </w:p>
        </w:tc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Primary Paper + Cool 인서트</w:t>
            </w:r>
          </w:p>
        </w:tc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연락처 가독성 + 고지 구분</w:t>
            </w:r>
          </w:p>
        </w:tc>
      </w:tr>
    </w:tbl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예상 리듬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이 구조로 독자는 브로셔를 넘기며 다음 흐름을 경험한다.</w:t>
      </w:r>
    </w:p>
    <w:p>
      <w:pPr>
        <w:spacing w:after="120"/>
      </w:pPr>
      <w:r>
        <w:t xml:space="preserve"/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p.1 극적 임팩트 (차콜+골드)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p.2 감성 진입 (크림)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p.3 기술로 전환 (쿨)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p.4~5 데이터 집중 (화이트)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p.6 다시 기술 (쿨)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p.7~8 핵심 근거 (화이트)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p.9 인증 + 크림 수상 인서트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p.10 제품 쇼케이스 (베이지)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p.11 감성 마무리 (크림)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p.12 실용 정보 (화이트)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화이트 5페이지 · 크림 3페이지 · 쿨 3페이지 · 베이지 1페이지 · 차콜/블랙 부분 인서트. 12페이지가 **5가지 무드의 교차**로 구성된다.</w:t>
      </w:r>
    </w:p>
    <w:p>
      <w:r>
        <w:br w:type="page"/>
      </w:r>
    </w:p>
    <w:p>
      <w:pPr>
        <w:pStyle w:val="Heading1"/>
        <w:spacing w:after="200" w:before="400"/>
      </w:pPr>
      <w:r>
        <w:rPr>
          <w:rFonts w:ascii="Malgun Gothic" w:cs="Malgun Gothic" w:eastAsia="Malgun Gothic" w:hAnsi="Malgun Gothic"/>
          <w:b/>
          <w:bCs/>
          <w:color w:val="562873"/>
          <w:sz w:val="36"/>
          <w:szCs w:val="36"/>
        </w:rPr>
        <w:t xml:space="preserve">5. 실행 계획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5.1. Phase 1 — 팔레트 확정 (1개월)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본 제안서 승인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메인 컬러 확정 여부 확인 (Main이 확정되어야 배경 조화 검증 가능)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6단계 HEX 초안 내부 리뷰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용지 후보 3종 선정 (코팅지·언코팅지·반광지)</w:t>
      </w:r>
    </w:p>
    <w:p>
      <w:pPr>
        <w:spacing w:after="120"/>
      </w:pPr>
      <w:r>
        <w:t xml:space="preserve"/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5.2. Phase 2 — 인쇄 실측 테스트 (1~2개월)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6단계 × 3용지 = 18가지 인쇄 샘플 제작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각 배경 + Gold + 메인 퍼플 조합 테스트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조명 환경별 육안 평가 (자연광·형광등·LED)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최종 6단계 HEX·CMYK·Pantone 확정</w:t>
      </w:r>
    </w:p>
    <w:p>
      <w:pPr>
        <w:spacing w:after="120"/>
      </w:pPr>
      <w:r>
        <w:t xml:space="preserve"/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5.3. Phase 3 — 가이드라인 통합 (1개월)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BI Guideline v2.0에 배경 시스템 섹션 신설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각 배경의 용도·조합 규칙 문서화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Negative Rules (금지 사례) 작성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내부 디자이너 대상 적용 가이드 세미나</w:t>
      </w:r>
    </w:p>
    <w:p>
      <w:pPr>
        <w:spacing w:after="120"/>
      </w:pPr>
      <w:r>
        <w:t xml:space="preserve"/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5.4. Phase 4 — 애플리케이션 재디자인 (2~3개월, 선택)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브로셔 v3.0 전면 재디자인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영문판 파생 시 동일 팔레트 적용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부스·PPT 템플릿 시스템 확장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웹사이트 리뉴얼 반영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총 소요 기간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최소 3개월 (Phase 1~3만 진행 시) · 완전 재디자인 포함 6개월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5.5. 리소스 요구</w:t>
      </w:r>
    </w:p>
    <w:tbl>
      <w:tblPr>
        <w:tblW w:type="dxa" w:w="8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6000"/>
      </w:tblGrid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항목</w:t>
            </w:r>
          </w:p>
        </w:tc>
        <w:tc>
          <w:tcPr>
            <w:tcW w:type="dxa" w:w="6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내용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내부 인력</w:t>
            </w:r>
          </w:p>
        </w:tc>
        <w:tc>
          <w:tcPr>
            <w:tcW w:type="dxa" w:w="6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디자인 총괄 (리드) · 디자이너 1~2명 · 인쇄 관리자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외부 협력</w:t>
            </w:r>
          </w:p>
        </w:tc>
        <w:tc>
          <w:tcPr>
            <w:tcW w:type="dxa" w:w="6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인쇄소 (용지·잉크 샘플 제작) · 선택적 브랜드 컨설턴트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예산 (추정)</w:t>
            </w:r>
          </w:p>
        </w:tc>
        <w:tc>
          <w:tcPr>
            <w:tcW w:type="dxa" w:w="6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인쇄 샘플 제작비 + 컨설팅 비용 (선택). 구체 산정은 발주 방식 확정 후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소요 기간</w:t>
            </w:r>
          </w:p>
        </w:tc>
        <w:tc>
          <w:tcPr>
            <w:tcW w:type="dxa" w:w="6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Phase 1~3: 3개월 · Phase 4 포함: 6개월</w:t>
            </w:r>
          </w:p>
        </w:tc>
      </w:tr>
    </w:tbl>
    <w:p>
      <w:r>
        <w:br w:type="page"/>
      </w:r>
    </w:p>
    <w:p>
      <w:pPr>
        <w:pStyle w:val="Heading1"/>
        <w:spacing w:after="200" w:before="400"/>
      </w:pPr>
      <w:r>
        <w:rPr>
          <w:rFonts w:ascii="Malgun Gothic" w:cs="Malgun Gothic" w:eastAsia="Malgun Gothic" w:hAnsi="Malgun Gothic"/>
          <w:b/>
          <w:bCs/>
          <w:color w:val="562873"/>
          <w:sz w:val="36"/>
          <w:szCs w:val="36"/>
        </w:rPr>
        <w:t xml:space="preserve">6. 리스크 및 대응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6.1. 예상 리스크</w:t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리스크 1 — 배경 톤 혼재로 인한 산만함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가능성: 높음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영향: 브랜드 일관성 훼손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대응: 명확한 페이지-배경 매핑 규칙 + 디자이너 교육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리스크 2 — 인쇄 재현 실패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가능성: 중간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영향: Cream·Beige 계열은 용지색과 섞여 의도한 톤이 안 나올 수 있음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대응: Phase 2 실측 테스트 필수 · 용지 선정 시 배경 재현 검증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리스크 3 — 한국 의료 시장 수용성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가능성: 중간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영향: "오래된 느낌" 또는 "미국식" 으로 받아들여질 우려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대응: 소규모 개원의 대상 사전 인터뷰 · 여의치 않으면 영문판에만 먼저 적용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리스크 4 — 프로젝트 지연 및 비용 초과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가능성: 중간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영향: 현 브로셔 리뉴얼 일정에 영향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대응: 본 프로젝트는 현 브로셔 리뉴얼 완료 후 착수 · 분리 운영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리스크 5 — 메인 컬러 미확정 상태에서 배경 설계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가능성: 현재 상태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영향: 메인 컬러 변경 시 배경 조화 재검토 필요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대응: Phase 1 착수 전 메인 컬러 확정 필수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6.2. 대안 경로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리스크가 부담스러울 경우의 축소 대안을 제시한다.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대안 A — 최소 확장 (2단계)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현 화이트 + Warm Cream 1개만 추가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감성 영역에만 크림 적용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변경 부담 최소 · 효과도 제한적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대안 B — 중간 확장 (4단계)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화이트 + Cream + Cool Paper + Charcoal (부분)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베이지 제외 · 블랙 제외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현실적 절충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대안 C — 전면 확장 (6단계, 본 제안 원안)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6단계 모두 운영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최대 효과 · 최대 부담</w:t>
      </w:r>
    </w:p>
    <w:p>
      <w:r>
        <w:br w:type="page"/>
      </w:r>
    </w:p>
    <w:p>
      <w:pPr>
        <w:pStyle w:val="Heading1"/>
        <w:spacing w:after="200" w:before="400"/>
      </w:pPr>
      <w:r>
        <w:rPr>
          <w:rFonts w:ascii="Malgun Gothic" w:cs="Malgun Gothic" w:eastAsia="Malgun Gothic" w:hAnsi="Malgun Gothic"/>
          <w:b/>
          <w:bCs/>
          <w:color w:val="562873"/>
          <w:sz w:val="36"/>
          <w:szCs w:val="36"/>
        </w:rPr>
        <w:t xml:space="preserve">7. 제한사항 및 주의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7.1. 본 제안서의 한계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구체적 HEX는 디자인 초안 · 인쇄 실측 전까지 미확정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한국 의료 시장 개원의 선호 조사 미실시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경쟁사 배경 전략 전수 조사 미실시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구체 예산 산정은 발주 방식 결정 후 가능</w:t>
      </w:r>
    </w:p>
    <w:p>
      <w:pPr>
        <w:spacing w:after="120"/>
      </w:pPr>
      <w:r>
        <w:t xml:space="preserve"/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7.2. 트랙 B 컬러 재정립 프로젝트와의 관계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본 제안은 트랙 B의 하위 모듈이다. 다음 순서로 통합되어야 한다.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우선순위 1: 메인 퍼플 재정립 (컬러 후보 5종 중 선정)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우선순위 2: Hue 운영 전략 결정 (전략 A/B/C 중 선택)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우선순위 3: 본 프로젝트 — 배경 팔레트 구축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우선순위 4: BI Guideline v2.0 통합 개정</w:t>
      </w:r>
    </w:p>
    <w:p>
      <w:pPr>
        <w:spacing w:after="120"/>
      </w:pPr>
      <w:r>
        <w:t xml:space="preserve"/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7.3. 디자인 총괄 판단의 주관성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본 제안서의 팔레트 초안·페이지 매핑·Gold 조합 평가는 디자인 실무 판단이다. 외부 브랜드 컨설턴트 의견이 다를 수 있으며, 경영진·마케팅팀 판단이 우선시되어야 할 수도 있다.</w:t>
      </w:r>
    </w:p>
    <w:p>
      <w:pPr>
        <w:spacing w:after="120"/>
      </w:pPr>
      <w:r>
        <w:t xml:space="preserve"/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7.4. 현 브로셔 리뉴얼 반영 여부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본 프로젝트는 **현 브로셔 리뉴얼 범위가 아닌, 후속 프로젝트**로 제안된다. 현 브로셔는 화이트 단일 배경으로 마감한 후, 2027년 이후 재개정판에 본 팔레트 시스템을 적용하는 것이 현실적이다. 단 사용자·경영진 판단에 따라 현 브로셔 일부 페이지에 시범 적용하는 것도 선택 가능하다.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7.5. 동시 진행 중인 관련 산출물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mirajet_color_exploration_v1.docx — Main 컬러 후보 탐색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mirajet_hue_expansion_study.docx — Hue 운영 전략 비교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mirajet_color_guideline_v1.docx — 현 컬러 사용 지침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mirajet_color_simulator.html — 컬러 시뮬레이터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본 문서 — 배경 팔레트 트랙 B 제안</w:t>
      </w:r>
    </w:p>
    <w:p>
      <w:pPr>
        <w:spacing w:after="120"/>
      </w:pPr>
      <w:r>
        <w:t xml:space="preserve"/>
      </w:r>
    </w:p>
    <w:p>
      <w:pPr>
        <w:spacing w:after="200" w:before="400"/>
        <w:jc w:val="center"/>
      </w:pPr>
      <w:r>
        <w:rPr>
          <w:rFonts w:ascii="Malgun Gothic" w:cs="Malgun Gothic" w:eastAsia="Malgun Gothic" w:hAnsi="Malgun Gothic"/>
          <w:i/>
          <w:iCs/>
          <w:color w:val="888888"/>
          <w:sz w:val="20"/>
          <w:szCs w:val="20"/>
        </w:rPr>
        <w:t xml:space="preserve">— 제안서 끝 —</w:t>
      </w:r>
    </w:p>
    <w:p>
      <w:pPr>
        <w:jc w:val="center"/>
      </w:pPr>
      <w:r>
        <w:rPr>
          <w:rFonts w:ascii="Malgun Gothic" w:cs="Malgun Gothic" w:eastAsia="Malgun Gothic" w:hAnsi="Malgun Gothic"/>
          <w:color w:val="888888"/>
          <w:sz w:val="18"/>
          <w:szCs w:val="18"/>
        </w:rPr>
        <w:t xml:space="preserve">본 문서는 경영진 검토 및 트랙 B 프로젝트 착수 의사결정을 위한 제안서입니다.</w:t>
      </w:r>
    </w:p>
    <w:sectPr>
      <w:headerReference w:type="default" r:id="rId7"/>
      <w:footerReference w:type="default" r:id="rId8"/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rFonts w:ascii="Malgun Gothic" w:cs="Malgun Gothic" w:eastAsia="Malgun Gothic" w:hAnsi="Malgun Gothic"/>
        <w:sz w:val="16"/>
        <w:szCs w:val="16"/>
      </w:rPr>
      <w:fldChar w:fldCharType="begin"/>
      <w:instrText xml:space="preserve">PAGE</w:instrText>
      <w:fldChar w:fldCharType="separate"/>
      <w:fldChar w:fldCharType="end"/>
    </w:r>
    <w:r>
      <w:rPr>
        <w:rFonts w:ascii="Malgun Gothic" w:cs="Malgun Gothic" w:eastAsia="Malgun Gothic" w:hAnsi="Malgun Gothic"/>
        <w:sz w:val="16"/>
        <w:szCs w:val="16"/>
      </w:rPr>
      <w:t xml:space="preserve"> / </w:t>
    </w:r>
    <w:r>
      <w:rPr>
        <w:rFonts w:ascii="Malgun Gothic" w:cs="Malgun Gothic" w:eastAsia="Malgun Gothic" w:hAnsi="Malgun Gothic"/>
        <w:sz w:val="16"/>
        <w:szCs w:val="16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jc w:val="right"/>
    </w:pPr>
    <w:r>
      <w:rPr>
        <w:rFonts w:ascii="Malgun Gothic" w:cs="Malgun Gothic" w:eastAsia="Malgun Gothic" w:hAnsi="Malgun Gothic"/>
        <w:color w:val="888888"/>
        <w:sz w:val="16"/>
        <w:szCs w:val="16"/>
      </w:rPr>
      <w:t xml:space="preserve">mirajet Background Palette Proposal v1.0 · Track B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  <w:lvl w:ilvl="1" w15:tentative="1">
      <w:start w:val="1"/>
      <w:numFmt w:val="bullet"/>
      <w:lvlText w:val="◦"/>
      <w:lvlJc w:val="left"/>
      <w:pPr>
        <w:ind w:left="144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Malgun Gothic" w:cs="Malgun Gothic" w:eastAsia="Malgun Gothic" w:hAnsi="Malgun Gothic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200" w:before="400"/>
      <w:outlineLvl w:val="0"/>
    </w:pPr>
    <w:rPr>
      <w:rFonts w:ascii="Malgun Gothic" w:cs="Malgun Gothic" w:eastAsia="Malgun Gothic" w:hAnsi="Malgun Gothic"/>
      <w:b/>
      <w:bCs/>
      <w:color w:val="562873"/>
      <w:sz w:val="36"/>
      <w:szCs w:val="36"/>
    </w:rPr>
  </w:style>
  <w:style w:type="paragraph" w:styleId="Heading2">
    <w:name w:val="Heading 2"/>
    <w:basedOn w:val="Normal"/>
    <w:next w:val="Normal"/>
    <w:qFormat/>
    <w:pPr>
      <w:spacing w:after="160" w:before="300"/>
      <w:outlineLvl w:val="1"/>
    </w:pPr>
    <w:rPr>
      <w:rFonts w:ascii="Malgun Gothic" w:cs="Malgun Gothic" w:eastAsia="Malgun Gothic" w:hAnsi="Malgun Gothic"/>
      <w:b/>
      <w:bCs/>
      <w:color w:val="333333"/>
      <w:sz w:val="28"/>
      <w:szCs w:val="28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mirajet Background Palette Proposal v1.0 — Track B</dc:title>
  <dc:creator>JSK BIOMED Design Lead</dc:creator>
  <cp:lastModifiedBy>Un-named</cp:lastModifiedBy>
  <cp:revision>1</cp:revision>
  <dcterms:created xsi:type="dcterms:W3CDTF">2026-04-20T14:40:32.017Z</dcterms:created>
  <dcterms:modified xsi:type="dcterms:W3CDTF">2026-04-20T14:40:32.018Z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